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rdf-20260630.htm"/>
        <w:bookmarkStart w:id="1" w:name="kscrdf20260630"/>
        <w:bookmarkEnd w:id="0"/>
        <w:bookmarkEnd w:id="1"/>
        <w:r>
          <w:rPr>
            <w:rStyle w:val="InternetLink"/>
            <w:rFonts w:ascii="Times New Roman" w:hAnsi="Times New Roman"/>
            <w:b/>
            <w:color w:val="0000FF"/>
            <w:sz w:val="20"/>
            <w:u w:val="single"/>
          </w:rPr>
          <w:t>Table of Contents</w:t>
        </w:r>
      </w:hyperlink>
    </w:p>
    <w:p>
      <w:pPr>
        <w:pStyle w:val="TextBody"/>
        <w:pBdr>
          <w:bottom w:val="double" w:sz="6" w:space="1" w:color="000000"/>
        </w:pBdr>
        <w:bidi w:val="0"/>
        <w:jc w:val="left"/>
        <w:rPr/>
      </w:pPr>
      <w:bookmarkStart w:id="2" w:name="section1"/>
      <w:bookmarkEnd w:id="2"/>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9647" w:type="dxa"/>
        <w:jc w:val="left"/>
        <w:tblInd w:w="0" w:type="dxa"/>
        <w:tblLayout w:type="fixed"/>
        <w:tblCellMar>
          <w:top w:w="28" w:type="dxa"/>
          <w:left w:w="28" w:type="dxa"/>
          <w:bottom w:w="28" w:type="dxa"/>
          <w:right w:w="28" w:type="dxa"/>
        </w:tblCellMar>
      </w:tblPr>
      <w:tblGrid>
        <w:gridCol w:w="331"/>
        <w:gridCol w:w="9316"/>
      </w:tblGrid>
      <w:tr>
        <w:trPr/>
        <w:tc>
          <w:tcPr>
            <w:tcW w:w="331"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UNDER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tbl>
      <w:tblPr>
        <w:tblW w:w="9632" w:type="dxa"/>
        <w:jc w:val="left"/>
        <w:tblInd w:w="0" w:type="dxa"/>
        <w:tblLayout w:type="fixed"/>
        <w:tblCellMar>
          <w:top w:w="28" w:type="dxa"/>
          <w:left w:w="28" w:type="dxa"/>
          <w:bottom w:w="28" w:type="dxa"/>
          <w:right w:w="28" w:type="dxa"/>
        </w:tblCellMar>
      </w:tblPr>
      <w:tblGrid>
        <w:gridCol w:w="331"/>
        <w:gridCol w:w="9301"/>
      </w:tblGrid>
      <w:tr>
        <w:trPr/>
        <w:tc>
          <w:tcPr>
            <w:tcW w:w="331" w:type="dxa"/>
            <w:tcBorders/>
            <w:vAlign w:val="center"/>
          </w:tcPr>
          <w:p>
            <w:pPr>
              <w:pStyle w:val="TableContents"/>
              <w:bidi w:val="0"/>
              <w:spacing w:before="0" w:after="283"/>
              <w:jc w:val="left"/>
              <w:rPr>
                <w:sz w:val="4"/>
                <w:szCs w:val="4"/>
              </w:rPr>
            </w:pPr>
            <w:r>
              <w:rPr>
                <w:sz w:val="4"/>
                <w:szCs w:val="4"/>
              </w:rPr>
            </w:r>
          </w:p>
        </w:tc>
        <w:tc>
          <w:tcPr>
            <w:tcW w:w="93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UNDER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 xml:space="preserve">COMMISSION FILE NUMBER </w:t>
      </w:r>
      <w:r>
        <w:rPr>
          <w:rFonts w:ascii="Times New Roman" w:hAnsi="Times New Roman"/>
          <w:b/>
          <w:color w:val="000000"/>
          <w:sz w:val="20"/>
        </w:rPr>
        <w:t>001-35558</w:t>
      </w:r>
    </w:p>
    <w:p>
      <w:pPr>
        <w:pStyle w:val="TextBody"/>
        <w:bidi w:val="0"/>
        <w:jc w:val="center"/>
        <w:rPr>
          <w:rFonts w:ascii="Times New Roman" w:hAnsi="Times New Roman"/>
          <w:b/>
          <w:color w:val="000000"/>
          <w:sz w:val="32"/>
        </w:rPr>
      </w:pPr>
      <w:r>
        <w:rPr>
          <w:rFonts w:ascii="Times New Roman" w:hAnsi="Times New Roman"/>
          <w:b/>
          <w:color w:val="000000"/>
          <w:sz w:val="32"/>
        </w:rPr>
        <w:t>CARDIFF ONCOLOGY, INC.</w:t>
      </w:r>
    </w:p>
    <w:p>
      <w:pPr>
        <w:pStyle w:val="TextBody"/>
        <w:bidi w:val="0"/>
        <w:spacing w:before="40" w:after="283"/>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7183" w:type="dxa"/>
        <w:jc w:val="left"/>
        <w:tblInd w:w="0" w:type="dxa"/>
        <w:tblLayout w:type="fixed"/>
        <w:tblCellMar>
          <w:top w:w="28" w:type="dxa"/>
          <w:left w:w="28" w:type="dxa"/>
          <w:bottom w:w="28" w:type="dxa"/>
          <w:right w:w="28" w:type="dxa"/>
        </w:tblCellMar>
      </w:tblPr>
      <w:tblGrid>
        <w:gridCol w:w="4321"/>
        <w:gridCol w:w="146"/>
        <w:gridCol w:w="271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27-2004382</w:t>
            </w:r>
          </w:p>
        </w:tc>
      </w:tr>
      <w:tr>
        <w:trPr/>
        <w:tc>
          <w:tcPr>
            <w:tcW w:w="432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11055 Flintkote Avenue, 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432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(Zip Code)</w:t>
            </w:r>
          </w:p>
        </w:tc>
      </w:tr>
      <w:tr>
        <w:trPr/>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8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(858) 952-7570</w:t>
            </w:r>
          </w:p>
        </w:tc>
      </w:tr>
      <w:tr>
        <w:trPr/>
        <w:tc>
          <w:tcPr>
            <w:tcW w:w="7183" w:type="dxa"/>
            <w:gridSpan w:val="3"/>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(Registrant’s telephone number, including area code)</w:t>
            </w:r>
          </w:p>
        </w:tc>
      </w:tr>
    </w:tbl>
    <w:p>
      <w:pPr>
        <w:pStyle w:val="TextBody"/>
        <w:bidi w:val="0"/>
        <w:jc w:val="center"/>
        <w:rPr/>
      </w:pPr>
      <w:r>
        <w:rPr/>
        <w:t> </w:t>
      </w:r>
    </w:p>
    <w:tbl>
      <w:tblPr>
        <w:tblW w:w="6580" w:type="dxa"/>
        <w:jc w:val="left"/>
        <w:tblInd w:w="0" w:type="dxa"/>
        <w:tblLayout w:type="fixed"/>
        <w:tblCellMar>
          <w:top w:w="28" w:type="dxa"/>
          <w:left w:w="28" w:type="dxa"/>
          <w:bottom w:w="28" w:type="dxa"/>
          <w:right w:w="28" w:type="dxa"/>
        </w:tblCellMar>
      </w:tblPr>
      <w:tblGrid>
        <w:gridCol w:w="1456"/>
        <w:gridCol w:w="146"/>
        <w:gridCol w:w="1456"/>
        <w:gridCol w:w="146"/>
        <w:gridCol w:w="337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4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3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45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CRDF</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337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2"/>
        <w:gridCol w:w="146"/>
        <w:gridCol w:w="1523"/>
        <w:gridCol w:w="146"/>
        <w:gridCol w:w="1883"/>
        <w:gridCol w:w="146"/>
        <w:gridCol w:w="2137"/>
        <w:gridCol w:w="146"/>
        <w:gridCol w:w="2196"/>
      </w:tblGrid>
      <w:tr>
        <w:trPr/>
        <w:tc>
          <w:tcPr>
            <w:tcW w:w="1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18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Non-accelerated filer ☒</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August 6, 2026, the issuer had 77,795,249 shares of Common Stock issued and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3" w:name="section2"/>
      <w:bookmarkEnd w:id="3"/>
      <w:r>
        <w:rPr>
          <w:rFonts w:ascii="Times New Roman" w:hAnsi="Times New Roman"/>
          <w:b/>
          <w:color w:val="000000"/>
          <w:sz w:val="20"/>
        </w:rPr>
        <w:t>CARDIFF ONCOLOGY, INC.</w:t>
      </w:r>
    </w:p>
    <w:p>
      <w:pPr>
        <w:pStyle w:val="TextBody"/>
        <w:bidi w:val="0"/>
        <w:spacing w:before="200" w:after="283"/>
        <w:jc w:val="center"/>
        <w:rPr>
          <w:rFonts w:ascii="Times New Roman" w:hAnsi="Times New Roman"/>
          <w:b/>
          <w:color w:val="000000"/>
          <w:sz w:val="20"/>
        </w:rPr>
      </w:pPr>
      <w:bookmarkStart w:id="4" w:name="toc_page"/>
      <w:bookmarkEnd w:id="4"/>
      <w:r>
        <w:rPr>
          <w:rFonts w:ascii="Times New Roman" w:hAnsi="Times New Roman"/>
          <w:b/>
          <w:color w:val="000000"/>
          <w:sz w:val="20"/>
        </w:rPr>
        <w:t>Table of Contents</w:t>
      </w:r>
    </w:p>
    <w:p>
      <w:pPr>
        <w:pStyle w:val="TextBody"/>
        <w:bidi w:val="0"/>
        <w:spacing w:before="0" w:after="100"/>
        <w:jc w:val="left"/>
        <w:rPr/>
      </w:pPr>
      <w:r>
        <w:rP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i_financial_informatio">
              <w:r>
                <w:rPr>
                  <w:rStyle w:val="InternetLink"/>
                  <w:rFonts w:ascii="Times New Roman" w:hAnsi="Times New Roman"/>
                  <w:b/>
                  <w:color w:val="0000FF"/>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condensed_statements_of_operations">
              <w:r>
                <w:rPr>
                  <w:rStyle w:val="InternetLink"/>
                  <w:rFonts w:ascii="Times New Roman" w:hAnsi="Times New Roman"/>
                  <w:color w:val="0000FF"/>
                  <w:sz w:val="20"/>
                  <w:u w:val="single"/>
                </w:rPr>
                <w:t>Condensed Statements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statements_of_comprehensive_loss">
              <w:r>
                <w:rPr>
                  <w:rStyle w:val="InternetLink"/>
                  <w:rFonts w:ascii="Times New Roman" w:hAnsi="Times New Roman"/>
                  <w:color w:val="0000FF"/>
                  <w:sz w:val="20"/>
                  <w:u w:val="single"/>
                </w:rPr>
                <w:t>Condensed Statements of Comprehensive Loss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statements_of_stockholders_equity">
              <w:r>
                <w:rPr>
                  <w:rStyle w:val="InternetLink"/>
                  <w:rFonts w:ascii="Times New Roman" w:hAnsi="Times New Roman"/>
                  <w:color w:val="0000FF"/>
                  <w:sz w:val="20"/>
                  <w:u w:val="single"/>
                </w:rPr>
                <w:t>Condensed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statements_of_cash_flows">
              <w:r>
                <w:rPr>
                  <w:rStyle w:val="InternetLink"/>
                  <w:rFonts w:ascii="Times New Roman" w:hAnsi="Times New Roman"/>
                  <w:color w:val="0000FF"/>
                  <w:sz w:val="20"/>
                  <w:u w:val="single"/>
                </w:rPr>
                <w:t>Condensed Statements of Cash Flows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notes_to_condensed_financial_statements">
              <w:r>
                <w:rPr>
                  <w:rStyle w:val="InternetLink"/>
                  <w:rFonts w:ascii="Times New Roman" w:hAnsi="Times New Roman"/>
                  <w:color w:val="0000FF"/>
                  <w:sz w:val="20"/>
                  <w:u w:val="single"/>
                </w:rPr>
                <w:t>Notes to Condensed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0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5" w:name="parti_financial_informatio"/>
      <w:bookmarkEnd w:id="5"/>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6" w:name="item_1_financial_statements"/>
      <w:bookmarkEnd w:id="6"/>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CARDIFF ONCOLOGY,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balance_sheets"/>
      <w:bookmarkEnd w:id="7"/>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367" w:type="dxa"/>
        <w:jc w:val="left"/>
        <w:tblInd w:w="0" w:type="dxa"/>
        <w:tblLayout w:type="fixed"/>
        <w:tblCellMar>
          <w:top w:w="28" w:type="dxa"/>
          <w:left w:w="28" w:type="dxa"/>
          <w:bottom w:w="28" w:type="dxa"/>
          <w:right w:w="28" w:type="dxa"/>
        </w:tblCellMar>
      </w:tblPr>
      <w:tblGrid>
        <w:gridCol w:w="6151"/>
        <w:gridCol w:w="146"/>
        <w:gridCol w:w="211"/>
        <w:gridCol w:w="841"/>
        <w:gridCol w:w="166"/>
        <w:gridCol w:w="146"/>
        <w:gridCol w:w="219"/>
        <w:gridCol w:w="876"/>
        <w:gridCol w:w="6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and unbilled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$0.001 par value, 20,000 shares </w:t>
              <w:br/>
              <w:t xml:space="preserve">   authorized; 277 designated as Series A Convertible Preferred Stock; </w:t>
              <w:br/>
              <w:t xml:space="preserve">   61 shares outstanding at June 30, 2026 and December 31, 2025 </w:t>
              <w:br/>
              <w:t>   with liquidation preference of $1,129 and $1,117 at</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150,000 shares authorized; 68,502 and</w:t>
              <w:br/>
              <w:t>   68,305 shares issued and outstanding at June 30, 2026</w:t>
              <w:br/>
              <w:t>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8" w:name="section6"/>
      <w:bookmarkEnd w:id="8"/>
      <w:r>
        <w:rPr>
          <w:rFonts w:ascii="Times New Roman" w:hAnsi="Times New Roman"/>
          <w:b/>
          <w:color w:val="000000"/>
          <w:sz w:val="20"/>
        </w:rPr>
        <w:t>CARDIFF ONCOLOGY, INC.</w:t>
      </w:r>
    </w:p>
    <w:p>
      <w:pPr>
        <w:pStyle w:val="TextBody"/>
        <w:bidi w:val="0"/>
        <w:jc w:val="center"/>
        <w:rPr>
          <w:rFonts w:ascii="Times New Roman" w:hAnsi="Times New Roman"/>
          <w:sz w:val="20"/>
        </w:rPr>
      </w:pPr>
      <w:bookmarkStart w:id="9" w:name="condensed_statements_of_operations"/>
      <w:bookmarkEnd w:id="9"/>
      <w:r>
        <w:rPr>
          <w:rFonts w:ascii="Times New Roman" w:hAnsi="Times New Roman"/>
          <w:b/>
          <w:color w:val="000000"/>
          <w:sz w:val="20"/>
        </w:rPr>
        <w:t>CONDENSED STATEMENTS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479" w:type="dxa"/>
        <w:jc w:val="left"/>
        <w:tblInd w:w="0" w:type="dxa"/>
        <w:tblLayout w:type="fixed"/>
        <w:tblCellMar>
          <w:top w:w="28" w:type="dxa"/>
          <w:left w:w="28" w:type="dxa"/>
          <w:bottom w:w="28" w:type="dxa"/>
          <w:right w:w="28" w:type="dxa"/>
        </w:tblCellMar>
      </w:tblPr>
      <w:tblGrid>
        <w:gridCol w:w="3961"/>
        <w:gridCol w:w="146"/>
        <w:gridCol w:w="222"/>
        <w:gridCol w:w="713"/>
        <w:gridCol w:w="175"/>
        <w:gridCol w:w="154"/>
        <w:gridCol w:w="222"/>
        <w:gridCol w:w="777"/>
        <w:gridCol w:w="166"/>
        <w:gridCol w:w="146"/>
        <w:gridCol w:w="211"/>
        <w:gridCol w:w="736"/>
        <w:gridCol w:w="166"/>
        <w:gridCol w:w="146"/>
        <w:gridCol w:w="211"/>
        <w:gridCol w:w="736"/>
        <w:gridCol w:w="5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dividend payable on Series A</w:t>
              <w:br/>
              <w:t>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(9,238</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68,397</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0" w:name="section7"/>
      <w:bookmarkEnd w:id="10"/>
      <w:r>
        <w:rPr>
          <w:rFonts w:ascii="Times New Roman" w:hAnsi="Times New Roman"/>
          <w:b/>
          <w:color w:val="000000"/>
          <w:sz w:val="20"/>
        </w:rPr>
        <w:t>CARDIFF ONCOLOGY, INC.</w:t>
      </w:r>
    </w:p>
    <w:p>
      <w:pPr>
        <w:pStyle w:val="TextBody"/>
        <w:bidi w:val="0"/>
        <w:jc w:val="center"/>
        <w:rPr>
          <w:rFonts w:ascii="Times New Roman" w:hAnsi="Times New Roman"/>
          <w:b/>
          <w:color w:val="000000"/>
          <w:sz w:val="20"/>
        </w:rPr>
      </w:pPr>
      <w:bookmarkStart w:id="11" w:name="statements_of_comprehensive_loss"/>
      <w:bookmarkEnd w:id="11"/>
      <w:r>
        <w:rPr>
          <w:rFonts w:ascii="Times New Roman" w:hAnsi="Times New Roman"/>
          <w:b/>
          <w:color w:val="000000"/>
          <w:sz w:val="20"/>
        </w:rPr>
        <w:t>CONDENSED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069" w:type="dxa"/>
        <w:jc w:val="left"/>
        <w:tblInd w:w="0" w:type="dxa"/>
        <w:tblLayout w:type="fixed"/>
        <w:tblCellMar>
          <w:top w:w="28" w:type="dxa"/>
          <w:left w:w="28" w:type="dxa"/>
          <w:bottom w:w="28" w:type="dxa"/>
          <w:right w:w="28" w:type="dxa"/>
        </w:tblCellMar>
      </w:tblPr>
      <w:tblGrid>
        <w:gridCol w:w="3751"/>
        <w:gridCol w:w="146"/>
        <w:gridCol w:w="227"/>
        <w:gridCol w:w="680"/>
        <w:gridCol w:w="179"/>
        <w:gridCol w:w="157"/>
        <w:gridCol w:w="227"/>
        <w:gridCol w:w="793"/>
        <w:gridCol w:w="166"/>
        <w:gridCol w:w="146"/>
        <w:gridCol w:w="211"/>
        <w:gridCol w:w="736"/>
        <w:gridCol w:w="166"/>
        <w:gridCol w:w="146"/>
        <w:gridCol w:w="211"/>
        <w:gridCol w:w="736"/>
        <w:gridCol w:w="3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securities available-</w:t>
              <w:br/>
              <w:t>   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dividend payable on Series A</w:t>
              <w:br/>
              <w:t>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common</w:t>
              <w:br/>
              <w:t>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2" w:name="section8"/>
      <w:bookmarkEnd w:id="12"/>
      <w:r>
        <w:rPr>
          <w:rFonts w:ascii="Times New Roman" w:hAnsi="Times New Roman"/>
          <w:b/>
          <w:color w:val="000000"/>
          <w:sz w:val="20"/>
        </w:rPr>
        <w:t>CARDIFF ONCOLOGY, INC.</w:t>
      </w:r>
    </w:p>
    <w:p>
      <w:pPr>
        <w:pStyle w:val="TextBody"/>
        <w:bidi w:val="0"/>
        <w:jc w:val="center"/>
        <w:rPr>
          <w:rFonts w:ascii="Times New Roman" w:hAnsi="Times New Roman"/>
          <w:b/>
          <w:color w:val="000000"/>
          <w:sz w:val="20"/>
        </w:rPr>
      </w:pPr>
      <w:bookmarkStart w:id="13" w:name="statements_of_stockholders_equity"/>
      <w:bookmarkEnd w:id="13"/>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579" w:type="dxa"/>
        <w:jc w:val="left"/>
        <w:tblInd w:w="0" w:type="dxa"/>
        <w:tblLayout w:type="fixed"/>
        <w:tblCellMar>
          <w:top w:w="28" w:type="dxa"/>
          <w:left w:w="28" w:type="dxa"/>
          <w:bottom w:w="28" w:type="dxa"/>
          <w:right w:w="28" w:type="dxa"/>
        </w:tblCellMar>
      </w:tblPr>
      <w:tblGrid>
        <w:gridCol w:w="1351"/>
        <w:gridCol w:w="146"/>
        <w:gridCol w:w="196"/>
        <w:gridCol w:w="465"/>
        <w:gridCol w:w="146"/>
        <w:gridCol w:w="146"/>
        <w:gridCol w:w="250"/>
        <w:gridCol w:w="411"/>
        <w:gridCol w:w="146"/>
        <w:gridCol w:w="146"/>
        <w:gridCol w:w="146"/>
        <w:gridCol w:w="676"/>
        <w:gridCol w:w="146"/>
        <w:gridCol w:w="146"/>
        <w:gridCol w:w="239"/>
        <w:gridCol w:w="392"/>
        <w:gridCol w:w="146"/>
        <w:gridCol w:w="146"/>
        <w:gridCol w:w="211"/>
        <w:gridCol w:w="781"/>
        <w:gridCol w:w="146"/>
        <w:gridCol w:w="146"/>
        <w:gridCol w:w="367"/>
        <w:gridCol w:w="654"/>
        <w:gridCol w:w="166"/>
        <w:gridCol w:w="146"/>
        <w:gridCol w:w="211"/>
        <w:gridCol w:w="841"/>
        <w:gridCol w:w="166"/>
        <w:gridCol w:w="146"/>
        <w:gridCol w:w="211"/>
        <w:gridCol w:w="736"/>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Additional </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w:t>
              <w:br/>
              <w:t>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Issuance of common stock, net</w:t>
              <w:br/>
              <w:t>   of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Net of expenses of $64,000</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579" w:type="dxa"/>
        <w:jc w:val="left"/>
        <w:tblInd w:w="0" w:type="dxa"/>
        <w:tblLayout w:type="fixed"/>
        <w:tblCellMar>
          <w:top w:w="28" w:type="dxa"/>
          <w:left w:w="28" w:type="dxa"/>
          <w:bottom w:w="28" w:type="dxa"/>
          <w:right w:w="28" w:type="dxa"/>
        </w:tblCellMar>
      </w:tblPr>
      <w:tblGrid>
        <w:gridCol w:w="1351"/>
        <w:gridCol w:w="146"/>
        <w:gridCol w:w="196"/>
        <w:gridCol w:w="465"/>
        <w:gridCol w:w="146"/>
        <w:gridCol w:w="146"/>
        <w:gridCol w:w="250"/>
        <w:gridCol w:w="411"/>
        <w:gridCol w:w="146"/>
        <w:gridCol w:w="146"/>
        <w:gridCol w:w="146"/>
        <w:gridCol w:w="676"/>
        <w:gridCol w:w="146"/>
        <w:gridCol w:w="146"/>
        <w:gridCol w:w="239"/>
        <w:gridCol w:w="392"/>
        <w:gridCol w:w="146"/>
        <w:gridCol w:w="146"/>
        <w:gridCol w:w="211"/>
        <w:gridCol w:w="781"/>
        <w:gridCol w:w="146"/>
        <w:gridCol w:w="146"/>
        <w:gridCol w:w="367"/>
        <w:gridCol w:w="654"/>
        <w:gridCol w:w="166"/>
        <w:gridCol w:w="146"/>
        <w:gridCol w:w="211"/>
        <w:gridCol w:w="841"/>
        <w:gridCol w:w="166"/>
        <w:gridCol w:w="146"/>
        <w:gridCol w:w="211"/>
        <w:gridCol w:w="736"/>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Additional </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w:t>
              <w:br/>
              <w:t>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4" w:name="section9"/>
      <w:bookmarkEnd w:id="14"/>
      <w:r>
        <w:rPr>
          <w:rFonts w:ascii="Times New Roman" w:hAnsi="Times New Roman"/>
          <w:b/>
          <w:color w:val="000000"/>
          <w:sz w:val="20"/>
        </w:rPr>
        <w:t>CARDIFF ONCOLOGY,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5" w:name="statements_of_cash_flows"/>
      <w:bookmarkEnd w:id="15"/>
      <w:r>
        <w:rPr>
          <w:rFonts w:ascii="Times New Roman" w:hAnsi="Times New Roman"/>
          <w:b/>
          <w:color w:val="000000"/>
          <w:sz w:val="20"/>
        </w:rPr>
        <w:t>CONDENSED STATEMENTS</w:t>
      </w:r>
      <w:r>
        <w:rPr>
          <w:rFonts w:ascii="Times New Roman" w:hAnsi="Times New Roman"/>
          <w:color w:val="000000"/>
          <w:sz w:val="20"/>
        </w:rPr>
        <w:t xml:space="preserve"> </w:t>
      </w:r>
      <w:r>
        <w:rPr>
          <w:rFonts w:ascii="Times New Roman" w:hAnsi="Times New Roman"/>
          <w:b/>
          <w:color w:val="000000"/>
          <w:sz w:val="20"/>
        </w:rPr>
        <w:t>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699" w:type="dxa"/>
        <w:jc w:val="left"/>
        <w:tblInd w:w="0" w:type="dxa"/>
        <w:tblLayout w:type="fixed"/>
        <w:tblCellMar>
          <w:top w:w="28" w:type="dxa"/>
          <w:left w:w="28" w:type="dxa"/>
          <w:bottom w:w="28" w:type="dxa"/>
          <w:right w:w="28" w:type="dxa"/>
        </w:tblCellMar>
      </w:tblPr>
      <w:tblGrid>
        <w:gridCol w:w="6936"/>
        <w:gridCol w:w="146"/>
        <w:gridCol w:w="211"/>
        <w:gridCol w:w="736"/>
        <w:gridCol w:w="166"/>
        <w:gridCol w:w="146"/>
        <w:gridCol w:w="211"/>
        <w:gridCol w:w="736"/>
        <w:gridCol w:w="411"/>
      </w:tblGrid>
      <w:tr>
        <w:trPr/>
        <w:tc>
          <w:tcPr>
            <w:tcW w:w="6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discounts on short-term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and unbilled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Supplementary disclosure of cash flow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 included in accounts payable and accrued</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6" w:name="section10"/>
      <w:bookmarkEnd w:id="16"/>
      <w:r>
        <w:rPr>
          <w:rFonts w:ascii="Times New Roman" w:hAnsi="Times New Roman"/>
          <w:b/>
          <w:color w:val="000000"/>
          <w:sz w:val="20"/>
        </w:rPr>
        <w:t>CARDIFF ONCOLOGY,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7" w:name="notes_to_condensed_financial_statements"/>
      <w:bookmarkEnd w:id="17"/>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bookmarkStart w:id="18" w:name="section11"/>
      <w:bookmarkEnd w:id="18"/>
      <w:r>
        <w:rPr>
          <w:rFonts w:ascii="Times New Roman" w:hAnsi="Times New Roman"/>
          <w:b/>
          <w:color w:val="000000"/>
          <w:sz w:val="20"/>
        </w:rPr>
        <w:t>1. Organization and Basis of Presentation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Business Organization and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Cardiff Oncology, Inc. (“Cardiff Oncology” or the “Company”) headquartered in San Diego, California, is a clinical-stage biotechnology company advancing innovative cancer treatments focused on Polo-like Kinase 1 (“PLK1”) inhibition, a validated oncology target with practice-changing potential. The Company’s lead asset, onvansertib, is a highly specific, oral PLK1 inhibitor currently being evaluated in a Phase 2 trial for first-line treatment of RAS-mutated metastatic colorectal cancer (“mCRC”), addressing a large, underserved patient population with high unmet need. Onvansertib is also under investigation in other PLK1-driven cancers through investigator-initiated trials such as metastatic pancreatic ductal adenocarcinoma (“mPDAC”), small cell lung cancer (“SCLC”), metastatic triple negative breast cancer (“mTNBC”), and chronic myelomonocytic leukemia ("CMML"). These programs and the Company’s broader development strategy are designed to target tumor vulnerabilities and deliver improved clinical outcomes for patients with cancer. The Company's common stock is listed on the Nasdaq Capital Market under the ticker symbol "CRDF".</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financial statements of Cardiff Oncology have been prepared in accordance with accounting principles generally accepted in the United States of America (“GAAP”) and the rules and regulations of the Securities and Exchange Commission (“SEC”) related to a quarterly report on Form 10-Q. Certain information and note disclosures normally included in annual financial statements prepared in accordance with GAAP have been condensed or omitted pursuant to those rules and regulations. The unaudited interim condensed financial statements reflect all adjustments consisting of normal recurring adjustments which, in the opinion of management, are necessary for a fair statement of the Company’s financial position and the results of its operations and cash flows for the periods presented. The unaudited condensed balance sheet at December 31, 2025, has been derived from the audited financial statements at that date but does not include all of the information and disclosures required by GAAP for annual financial statements. The operating results presented in these unaudited interim condensed financial statements are not necessarily indicative of the results that may be expected for any future periods. These unaudited interim condensed financial statements should be read in conjunction with the audited financial statements and the notes thereto for the year ended December 31, 2025, included in the Company’s annual report on Form 10-K filed with the SEC on February 24,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Going Concern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net losses since its inception and has negative operating cash flows. As of June 30, 2026, the Company had $34.5 million in cash, cash equivalents and short-term investments, which is not sufficient to meet its funding requirements for at least the next 12 months following the filing of this Form 10-Q. Management has performed an analysis and concluded that there exists a substantial doubt about the Company's ability to continue as a going concern. The accompanying financial statements have been prepared on a going concern basis, which contemplates the realization of assets and satisfaction of liabilities in the normal course of business. The financial statements do not include any adjustments related to the recoverability and classification of recorded asset amounts or the amounts and classification of liabilities that might result from the outcome of this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ability to continue as a going concern is dependent upon its ability to obtain additional equity or debt financing, obtain government grants or reduce expenditures. The Company cannot be certain that additional funding will be available on acceptable terms, or at all. To the extent that the Company can raise additional funds by issuing equity securities, the Company’s stockholders may experience additional dilution.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section12"/>
      <w:bookmarkEnd w:id="19"/>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there have been no changes to the Company’s significant accounting policies as described in its Annual Report on Form 10-K for the fiscal year ended December 31,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business segment in the United States, which includes all activities related to the development of novel therapies across a range of cancers. The Company's chief operating decision-maker is its chief executive officer. The chief operating decision-maker allocates resources based on available cash, cash equivalents and short-term investments. The primary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measure of performance reviewed by the chief operating decision-maker is net loss which is compared to the annual budget and quarterly forecasts.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financial information required for segment reporting that is provided to the chief operating decision-maker is contained within the financial statements and notes to financial statements, with the exception of the disaggregated amounts contained in the table below: </w:t>
      </w:r>
    </w:p>
    <w:p>
      <w:pPr>
        <w:pStyle w:val="TextBody"/>
        <w:bidi w:val="0"/>
        <w:spacing w:before="120" w:after="283"/>
        <w:jc w:val="left"/>
        <w:rPr/>
      </w:pPr>
      <w:r>
        <w:rPr/>
        <w:t> </w:t>
      </w:r>
    </w:p>
    <w:tbl>
      <w:tblPr>
        <w:tblW w:w="9680" w:type="dxa"/>
        <w:jc w:val="left"/>
        <w:tblInd w:w="0" w:type="dxa"/>
        <w:tblLayout w:type="fixed"/>
        <w:tblCellMar>
          <w:top w:w="28" w:type="dxa"/>
          <w:left w:w="28" w:type="dxa"/>
          <w:bottom w:w="28" w:type="dxa"/>
          <w:right w:w="28" w:type="dxa"/>
        </w:tblCellMar>
      </w:tblPr>
      <w:tblGrid>
        <w:gridCol w:w="4121"/>
        <w:gridCol w:w="446"/>
        <w:gridCol w:w="243"/>
        <w:gridCol w:w="659"/>
        <w:gridCol w:w="168"/>
        <w:gridCol w:w="168"/>
        <w:gridCol w:w="243"/>
        <w:gridCol w:w="781"/>
        <w:gridCol w:w="146"/>
        <w:gridCol w:w="146"/>
        <w:gridCol w:w="211"/>
        <w:gridCol w:w="677"/>
        <w:gridCol w:w="146"/>
        <w:gridCol w:w="146"/>
        <w:gridCol w:w="211"/>
        <w:gridCol w:w="677"/>
        <w:gridCol w:w="491"/>
      </w:tblGrid>
      <w:tr>
        <w:trPr/>
        <w:tc>
          <w:tcPr>
            <w:tcW w:w="41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Salaries and staff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trials, outside services, and lab supplies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and other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Salaries and staff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Outside services and professional fees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and other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selling, 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common share is determined by dividing net loss attributable to common stockholders by the weighted-average common shares outstanding during the period. Preferred dividends are included in net loss attributable to common stockholders in the computation of basic and diluted earnings per share. For all periods presented, there is no difference in the number of shares used to calculate basic and diluted shares outstanding as inclusion of the potentially dilutive securities would be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outstanding potentially dilutive securities that have been excluded in the calculation of diluted net loss per share because their effect was anti-dilutive:</w:t>
      </w:r>
    </w:p>
    <w:p>
      <w:pPr>
        <w:pStyle w:val="TextBody"/>
        <w:bidi w:val="0"/>
        <w:jc w:val="left"/>
        <w:rPr/>
      </w:pPr>
      <w:r>
        <w:rPr/>
        <w:t> </w:t>
      </w:r>
    </w:p>
    <w:tbl>
      <w:tblPr>
        <w:tblW w:w="6114" w:type="dxa"/>
        <w:jc w:val="left"/>
        <w:tblInd w:w="0" w:type="dxa"/>
        <w:tblLayout w:type="fixed"/>
        <w:tblCellMar>
          <w:top w:w="28" w:type="dxa"/>
          <w:left w:w="28" w:type="dxa"/>
          <w:bottom w:w="28" w:type="dxa"/>
          <w:right w:w="28" w:type="dxa"/>
        </w:tblCellMar>
      </w:tblPr>
      <w:tblGrid>
        <w:gridCol w:w="3121"/>
        <w:gridCol w:w="146"/>
        <w:gridCol w:w="146"/>
        <w:gridCol w:w="1036"/>
        <w:gridCol w:w="146"/>
        <w:gridCol w:w="146"/>
        <w:gridCol w:w="146"/>
        <w:gridCol w:w="103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11,788,535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2,787,714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14,490,023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Investment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transactions are recorded on the trade date, and purchases of investments that are settled after the balance sheet date are included in accrued liabilities. 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Investments with contractual maturities beyond one year are also classified as short-term due to the Company’s ability to liquidate the investment for use in operations within the next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gains and losses on investment securities are included in earnings and are derived using the specific identification method for determining the cost of securities sold. The Company has not realized any significant gains or losses on sales of available-for-sale investment securities during any of the periods presented. As all the Company’s investment holdings are in the form of debt securities or certificates of deposit, unrealized gains and losses that are determined to be temporary in nature are reported as a component of accumulated other comprehensive loss. A decline in the fair value of any security below cost that is deemed other than temporary results in a charge to earnings and the establishment of a new cost basis for the security. Interest income is recognized when earned and is included in interest income, net, as are the amortization of purchase premiums and accretion of purchase discounts on investment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Pronouncement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 The amendments in this update are effective for public entities for annual periods beginning after December 15, 2026, and interim periods beginning after December 15, 2027. The amendments may be adopted either prospectively or retrospectively. Early adoption is permitted. The Company is currently evaluating the impact of this guidance on its financial statement disclosures.</w:t>
      </w:r>
    </w:p>
    <w:p>
      <w:pPr>
        <w:pStyle w:val="TextBody"/>
        <w:bidi w:val="0"/>
        <w:spacing w:before="360" w:after="283"/>
        <w:jc w:val="left"/>
        <w:rPr>
          <w:rFonts w:ascii="Times New Roman" w:hAnsi="Times New Roman"/>
          <w:b/>
          <w:color w:val="000000"/>
          <w:sz w:val="20"/>
        </w:rPr>
      </w:pPr>
      <w:bookmarkStart w:id="20" w:name="section13"/>
      <w:bookmarkEnd w:id="20"/>
      <w:r>
        <w:rPr>
          <w:rFonts w:ascii="Times New Roman" w:hAnsi="Times New Roman"/>
          <w:b/>
          <w:color w:val="000000"/>
          <w:sz w:val="20"/>
        </w:rPr>
        <w:t>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assets and liabilities that are measured and recognized at fair value on a recurring basis classified under the appropriate level of the fair value hierarchy as of June 30,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8"/>
        <w:gridCol w:w="146"/>
        <w:gridCol w:w="523"/>
        <w:gridCol w:w="1677"/>
        <w:gridCol w:w="146"/>
        <w:gridCol w:w="146"/>
        <w:gridCol w:w="359"/>
        <w:gridCol w:w="1153"/>
        <w:gridCol w:w="146"/>
        <w:gridCol w:w="146"/>
        <w:gridCol w:w="576"/>
        <w:gridCol w:w="946"/>
        <w:gridCol w:w="146"/>
        <w:gridCol w:w="146"/>
        <w:gridCol w:w="211"/>
        <w:gridCol w:w="676"/>
        <w:gridCol w:w="594"/>
      </w:tblGrid>
      <w:tr>
        <w:trPr/>
        <w:tc>
          <w:tcPr>
            <w:tcW w:w="2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June 30, 2026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and Liabilities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b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6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5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5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8"/>
        <w:gridCol w:w="146"/>
        <w:gridCol w:w="523"/>
        <w:gridCol w:w="1677"/>
        <w:gridCol w:w="146"/>
        <w:gridCol w:w="146"/>
        <w:gridCol w:w="359"/>
        <w:gridCol w:w="1153"/>
        <w:gridCol w:w="146"/>
        <w:gridCol w:w="146"/>
        <w:gridCol w:w="576"/>
        <w:gridCol w:w="946"/>
        <w:gridCol w:w="146"/>
        <w:gridCol w:w="146"/>
        <w:gridCol w:w="211"/>
        <w:gridCol w:w="676"/>
        <w:gridCol w:w="594"/>
      </w:tblGrid>
      <w:tr>
        <w:trPr/>
        <w:tc>
          <w:tcPr>
            <w:tcW w:w="2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and Liabilities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b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6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17,169</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5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17,169</w:t>
            </w:r>
          </w:p>
        </w:tc>
        <w:tc>
          <w:tcPr>
            <w:tcW w:w="5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58,003</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policy is to recognize transfers between levels of the fair value hierarchy on the date of the event or change in circumstances that caused the transfer. There were no transfers into or out of Level 3 during the six months ended June 30, 2026, and 2025.</w:t>
      </w:r>
    </w:p>
    <w:p>
      <w:pPr>
        <w:pStyle w:val="TextBody"/>
        <w:bidi w:val="0"/>
        <w:spacing w:before="360" w:after="283"/>
        <w:jc w:val="left"/>
        <w:rPr>
          <w:rFonts w:ascii="Times New Roman" w:hAnsi="Times New Roman"/>
          <w:b/>
          <w:color w:val="000000"/>
          <w:sz w:val="20"/>
        </w:rPr>
      </w:pPr>
      <w:bookmarkStart w:id="21" w:name="section14"/>
      <w:bookmarkEnd w:id="21"/>
      <w:r>
        <w:rPr>
          <w:rFonts w:ascii="Times New Roman" w:hAnsi="Times New Roman"/>
          <w:b/>
          <w:color w:val="000000"/>
          <w:sz w:val="20"/>
        </w:rPr>
        <w:t>4. Supplementary Balance Sheet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Investments available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available for sale consisted of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3"/>
        <w:gridCol w:w="146"/>
        <w:gridCol w:w="292"/>
        <w:gridCol w:w="936"/>
        <w:gridCol w:w="146"/>
        <w:gridCol w:w="146"/>
        <w:gridCol w:w="670"/>
        <w:gridCol w:w="1103"/>
        <w:gridCol w:w="146"/>
        <w:gridCol w:w="146"/>
        <w:gridCol w:w="646"/>
        <w:gridCol w:w="1155"/>
        <w:gridCol w:w="166"/>
        <w:gridCol w:w="146"/>
        <w:gridCol w:w="342"/>
        <w:gridCol w:w="1101"/>
        <w:gridCol w:w="395"/>
      </w:tblGrid>
      <w:tr>
        <w:trPr/>
        <w:tc>
          <w:tcPr>
            <w:tcW w:w="2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less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maturity less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maturity 1 to 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3"/>
        <w:gridCol w:w="146"/>
        <w:gridCol w:w="292"/>
        <w:gridCol w:w="936"/>
        <w:gridCol w:w="146"/>
        <w:gridCol w:w="146"/>
        <w:gridCol w:w="670"/>
        <w:gridCol w:w="1103"/>
        <w:gridCol w:w="146"/>
        <w:gridCol w:w="146"/>
        <w:gridCol w:w="680"/>
        <w:gridCol w:w="1121"/>
        <w:gridCol w:w="166"/>
        <w:gridCol w:w="146"/>
        <w:gridCol w:w="342"/>
        <w:gridCol w:w="1101"/>
        <w:gridCol w:w="395"/>
      </w:tblGrid>
      <w:tr>
        <w:trPr/>
        <w:tc>
          <w:tcPr>
            <w:tcW w:w="2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less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23,715</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maturity less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maturity 1 to 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periodically reviews its portfolio of debt securities to determine if any investment is impaired due to credit loss or other potential valuation concerns. For debt securities where the fair value of the investment is less than the amortized cost basis, we have assessed at the individual security level for various quantitative factors including, but not limited to, the nature of the investments, changes in credit ratings, interest rate fluctuations, industry analyst reports, and the severity of impairment. Unrealized losses in investments available for sale debt securities at June 30, 2026, were substantially due to changes in interest rates, not due to increased credit risks associated with specific securities. Accordingly, the Company has not recorded an allowance for credit losses. It is not more likely than not that we will be required to sell the investments before recovery of their amortized cost bases, which may be at maturity.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unrealized loss positions greater than one year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consisted of the following:</w:t>
      </w:r>
    </w:p>
    <w:p>
      <w:pPr>
        <w:pStyle w:val="TextBody"/>
        <w:bidi w:val="0"/>
        <w:jc w:val="left"/>
        <w:rPr/>
      </w:pPr>
      <w:r>
        <w:rPr/>
        <w:t> </w:t>
      </w:r>
    </w:p>
    <w:tbl>
      <w:tblPr>
        <w:tblW w:w="6100" w:type="dxa"/>
        <w:jc w:val="left"/>
        <w:tblInd w:w="0" w:type="dxa"/>
        <w:tblLayout w:type="fixed"/>
        <w:tblCellMar>
          <w:top w:w="28" w:type="dxa"/>
          <w:left w:w="28" w:type="dxa"/>
          <w:bottom w:w="28" w:type="dxa"/>
          <w:right w:w="28" w:type="dxa"/>
        </w:tblCellMar>
      </w:tblPr>
      <w:tblGrid>
        <w:gridCol w:w="2776"/>
        <w:gridCol w:w="146"/>
        <w:gridCol w:w="285"/>
        <w:gridCol w:w="855"/>
        <w:gridCol w:w="166"/>
        <w:gridCol w:w="146"/>
        <w:gridCol w:w="379"/>
        <w:gridCol w:w="1136"/>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property and equipment recognized in operating results are as follows:</w:t>
      </w:r>
    </w:p>
    <w:p>
      <w:pPr>
        <w:pStyle w:val="TextBody"/>
        <w:bidi w:val="0"/>
        <w:spacing w:before="120" w:after="283"/>
        <w:jc w:val="left"/>
        <w:rPr/>
      </w:pPr>
      <w:r>
        <w:rPr/>
        <w:t> </w:t>
      </w:r>
    </w:p>
    <w:tbl>
      <w:tblPr>
        <w:tblW w:w="7285" w:type="dxa"/>
        <w:jc w:val="left"/>
        <w:tblInd w:w="0" w:type="dxa"/>
        <w:tblLayout w:type="fixed"/>
        <w:tblCellMar>
          <w:top w:w="28" w:type="dxa"/>
          <w:left w:w="28" w:type="dxa"/>
          <w:bottom w:w="28" w:type="dxa"/>
          <w:right w:w="28" w:type="dxa"/>
        </w:tblCellMar>
      </w:tblPr>
      <w:tblGrid>
        <w:gridCol w:w="2326"/>
        <w:gridCol w:w="146"/>
        <w:gridCol w:w="355"/>
        <w:gridCol w:w="531"/>
        <w:gridCol w:w="245"/>
        <w:gridCol w:w="245"/>
        <w:gridCol w:w="355"/>
        <w:gridCol w:w="531"/>
        <w:gridCol w:w="146"/>
        <w:gridCol w:w="146"/>
        <w:gridCol w:w="280"/>
        <w:gridCol w:w="560"/>
        <w:gridCol w:w="194"/>
        <w:gridCol w:w="194"/>
        <w:gridCol w:w="280"/>
        <w:gridCol w:w="560"/>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rPr/>
      </w:pPr>
      <w:r>
        <w:rPr/>
        <w:t> </w:t>
      </w:r>
    </w:p>
    <w:tbl>
      <w:tblPr>
        <w:tblW w:w="6135" w:type="dxa"/>
        <w:jc w:val="left"/>
        <w:tblInd w:w="0" w:type="dxa"/>
        <w:tblLayout w:type="fixed"/>
        <w:tblCellMar>
          <w:top w:w="28" w:type="dxa"/>
          <w:left w:w="28" w:type="dxa"/>
          <w:bottom w:w="28" w:type="dxa"/>
          <w:right w:w="28" w:type="dxa"/>
        </w:tblCellMar>
      </w:tblPr>
      <w:tblGrid>
        <w:gridCol w:w="2851"/>
        <w:gridCol w:w="146"/>
        <w:gridCol w:w="307"/>
        <w:gridCol w:w="833"/>
        <w:gridCol w:w="146"/>
        <w:gridCol w:w="146"/>
        <w:gridCol w:w="407"/>
        <w:gridCol w:w="1108"/>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Unsettled investments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agreements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22" w:name="section15"/>
      <w:bookmarkEnd w:id="22"/>
      <w:r>
        <w:rPr>
          <w:rFonts w:ascii="Times New Roman" w:hAnsi="Times New Roman"/>
          <w:b/>
          <w:color w:val="000000"/>
          <w:sz w:val="20"/>
        </w:rPr>
        <w:t>5. 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related to Cardiff Oncology equity awards have been recognized in operating results as follows:</w:t>
      </w:r>
    </w:p>
    <w:p>
      <w:pPr>
        <w:pStyle w:val="TextBody"/>
        <w:bidi w:val="0"/>
        <w:jc w:val="left"/>
        <w:rPr/>
      </w:pPr>
      <w:r>
        <w:rPr/>
        <w:t> </w:t>
      </w:r>
    </w:p>
    <w:tbl>
      <w:tblPr>
        <w:tblW w:w="9566" w:type="dxa"/>
        <w:jc w:val="left"/>
        <w:tblInd w:w="0" w:type="dxa"/>
        <w:tblLayout w:type="fixed"/>
        <w:tblCellMar>
          <w:top w:w="28" w:type="dxa"/>
          <w:left w:w="28" w:type="dxa"/>
          <w:bottom w:w="28" w:type="dxa"/>
          <w:right w:w="28" w:type="dxa"/>
        </w:tblCellMar>
      </w:tblPr>
      <w:tblGrid>
        <w:gridCol w:w="4606"/>
        <w:gridCol w:w="146"/>
        <w:gridCol w:w="280"/>
        <w:gridCol w:w="559"/>
        <w:gridCol w:w="193"/>
        <w:gridCol w:w="193"/>
        <w:gridCol w:w="280"/>
        <w:gridCol w:w="758"/>
        <w:gridCol w:w="146"/>
        <w:gridCol w:w="146"/>
        <w:gridCol w:w="235"/>
        <w:gridCol w:w="637"/>
        <w:gridCol w:w="162"/>
        <w:gridCol w:w="162"/>
        <w:gridCol w:w="235"/>
        <w:gridCol w:w="637"/>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Included in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Included in 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unrecognized compensation cost related to non-vested stock options outstanding at June 30, 2026, net of estimated forfeitures, was $7.1 million, which is expected to be recognized over a weighted-average remaining vesting period of 2.9 years. The weighted-average remaining contractual term of outstanding options as of June 30, 2026, was approximately 5.8 years. The total fair value of stock options vested during the six months ended June 30, 2026 and 2025, were $3.9 million and $3.7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fair value of stock option awards was determined on the date of grant using the Black-Scholes option valuation model with the following assumptions during the following periods indicated:</w:t>
      </w:r>
    </w:p>
    <w:p>
      <w:pPr>
        <w:pStyle w:val="TextBody"/>
        <w:bidi w:val="0"/>
        <w:jc w:val="left"/>
        <w:rPr/>
      </w:pPr>
      <w:r>
        <w:rPr/>
        <w:t> </w:t>
      </w:r>
    </w:p>
    <w:tbl>
      <w:tblPr>
        <w:tblW w:w="5923" w:type="dxa"/>
        <w:jc w:val="left"/>
        <w:tblInd w:w="0" w:type="dxa"/>
        <w:tblLayout w:type="fixed"/>
        <w:tblCellMar>
          <w:top w:w="28" w:type="dxa"/>
          <w:left w:w="28" w:type="dxa"/>
          <w:bottom w:w="28" w:type="dxa"/>
          <w:right w:w="28" w:type="dxa"/>
        </w:tblCellMar>
      </w:tblPr>
      <w:tblGrid>
        <w:gridCol w:w="2086"/>
        <w:gridCol w:w="146"/>
        <w:gridCol w:w="534"/>
        <w:gridCol w:w="772"/>
        <w:gridCol w:w="496"/>
        <w:gridCol w:w="267"/>
        <w:gridCol w:w="534"/>
        <w:gridCol w:w="772"/>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 - 4.15%</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 - 4.11%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 - 102%</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 - 106%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5.1 - 5.9</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6.1 - 6.3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fair value per share of all options granted during the six months ended June 30, 2026 and 2025, estimated as of the grant date using the Black-Scholes option valuation model, was $1.25 and $2.99 per share, respectively.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summary of stock option activity and changes in stock options outstanding is presented below:</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766"/>
        <w:gridCol w:w="146"/>
        <w:gridCol w:w="146"/>
        <w:gridCol w:w="1036"/>
        <w:gridCol w:w="166"/>
        <w:gridCol w:w="146"/>
        <w:gridCol w:w="458"/>
        <w:gridCol w:w="1013"/>
        <w:gridCol w:w="146"/>
        <w:gridCol w:w="146"/>
        <w:gridCol w:w="211"/>
        <w:gridCol w:w="93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2,678,115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11,788,535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11,412,387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2021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2021, the Company's stockholders approved the 2021 Omnibus Equity Incentive Plan ("2021 Plan"). As of June 30, 2026, the number of authorized shares in the 2021 Plan is equal to the sum of (i) 15,150,000 shares, plus (ii) the number of shares of Common Stock reserved, but unissued under the 2014 Plan; and (iii) the number of shares of Common Stock underlying forfeited awards under the 2014 Plan. As of June 30, 2026, there were 7,514,663 shares available for issuance under the 2021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2014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the adoption of the 2021 Plan, no additional equity awards can be made under the terms of the 2014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Inducement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issues equity awards to certain new employees as inducement grants outside of its 2021 Plan. As of June 30, 2026, an aggregate of 2,276,826 shares were issuable upon the exercise of inducement grant stock options approved by the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Stock Option Modifications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$0.5 million of additional stock based compensation expense during the six months ended June 30, 2026 from stock option modifications. These modifications were the result of separation agreements entered into with Dr. Mark Erlander, former CEO, and James Levine, former CFO, on March 27, 2026 ("Agreement Date"). The modification date and valuation inputs were based on the Agreement Date. Dr. Erlander's stock options continued to vest through June 11, 2026, and all vested options will be exercisable until June 11, 2027. Mr. Levine's vested stock options will be exercisable until March 27, 2027. All of the additional stock based compensation expense from these modifications was recorded during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warrant activity and changes in warrants outstanding, classified as equity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6"/>
        <w:gridCol w:w="146"/>
        <w:gridCol w:w="282"/>
        <w:gridCol w:w="819"/>
        <w:gridCol w:w="146"/>
        <w:gridCol w:w="146"/>
        <w:gridCol w:w="639"/>
        <w:gridCol w:w="2055"/>
        <w:gridCol w:w="146"/>
        <w:gridCol w:w="146"/>
        <w:gridCol w:w="2984"/>
      </w:tblGrid>
      <w:tr>
        <w:trPr/>
        <w:tc>
          <w:tcPr>
            <w:tcW w:w="2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Term</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 years</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 years</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3" w:name="section16"/>
      <w:bookmarkEnd w:id="23"/>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Executive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executive agreements provide for severance payments in case of terminations without cause or certain change of control scenarios.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2017, the Company entered into a license agreement with Nerviano Medical Sciences S.r.l. (“NMS”) (the “Agreement”) which granted the Company development and commercialization rights to NMS-1286937, which the Company refers to as onvansertib. Terms of the agreement also provide for the Company to pay development milestones up to an aggregate of $15 million, commercial milestones, and royalties based on sales volume. These potential development milestones include: (a) dosing of the first subject in the first Phase III Clinical Trial for the first Product, a registration enabling Phase II Clinical Trial, or after completion of a Phase II Clinical Trial that is used as the basis for an NDA submission; and (b) upon filing of the first NDA or equivalent for the first product candidate. During the six months ended June 30, 2026, and 2025, no milestone or royalty payments were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a party to various agreements under which it licenses technology on an exclusive basis in the field of oncology therapeutics. These agreements include License fees, Royalties and Milestone payments. For the six months ended June 30, 2026, and 2025, payments have not been material. The Company also has a legacy license agreement in the field of oncology diagnostics under which royalty payments are due to the Company. These royalty payments are calculated as a percent of revenue.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involved in various lawsuits and legal proceedings that arise in the ordinary course of business. Litigation is subject to inherent uncertainties, and an adverse result in matters may arise from time to time that may harm the Company’s business. As of the date of this report, management believes that there are no claims against the Company, which could result in a material adverse effect on the Company’s business or financial condition, except for the following: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2026, the Company received a written notice from NMS alleging that the Company is in material breach of the Agreement because the Company did not name NMS employee Dr. Barbara Valsasina as a joint inventor on the Company’s U.S. Patent Nos. 12,144,813 and 12,263,173 (the “Cardiff Patents”) and did not agree to file a joint invention continuation patent application or, in the alternative, execute a power of attorney so NMS could do so. The Company maintains there was no breach and that the Agreement does not require the Company to name NMS employees on inventions made exclusively by the Company, or to make what the Company believes are false or inaccurate representations regarding inventorship to the U.S. Patent and Trademark Office.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19, 2026, the Company filed a lawsuit against NMS disputing NMS’s allegation that the Company materially breached the Agreement by declining to name NMS employee Dr. Barbara Valsasina as a joint inventor of the Cardiff Patents. The complaint, filed in the United States District Court for the Southern District of California, seeks injunctive relief requiring NMS to continue performing under the Agreement, a declaratory judgment that the Company did not breach the Agreement, and additional relief.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27, 2026, the Company was informed in writing by NMS that NMS was terminating the Agreement pursuant to Section 11.3 of the Agreement. NMS alleges that the Company materially breached the Agreement by failing to correct or give NMS a power of attorney to correct the inventorship of the Cardiff Patents to include NMS employee Dr. Barbara Valsasina as a joint inventor in breach of, inter alia, Section 10.2(c) of the Agreement. In addition, NMS alleges that the Company has failed to use Commercially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Reasonable Efforts (as defined in the Agreement) to conduct development activities and to obtain Regulatory Approvals (as defined in the Agreement) for onvansertib in material breach of Sections 7.3, 7.5 and 7.9 of the Agreement. The Company promptly responded to NMS that the notice of termination is legally ineffective, factually unsupported and procedurally improper, and that the Company will continue to perform under the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10, 2026, the Company filed a motion for preliminary injunction requesting the District Court to enjoin NMS from purporting to terminate the Agreement and other interference. NMS opposed the motion on July 17, 2026 and the Company replied in support of the motion on July 24, 2026. The motion is fully briefed and awaiting decision. NMS answered the complaint and filed counterclaims on June 26, 2026, asserting counterclaims for correction of inventorship, declaratory judgments of joint invention and termination, breach of contract, and breach of implied covenant of good faith and fair dealing. The Company moved to dismiss all counts except for NMS’s counterclaim for a correction of inventorship on July 17, 2026. The Company also filed an amended complaint on July 17, 2026, adding additional claims for breach of contract, unjust enrichment, and unfair competition in violation of California Business &amp; Professions Code § 17200 seeking monetary and other relief.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of litigation is inherently uncertain. There can be no assurance that the Company will prevail on any or all of its claims, that it will obtain the relief it is seeking, or that a court will agree with the Company’s legal interpretation of the Agreement or its characterization of NMS's conduct. If the court determines that NMS's termination was valid, the Company would lose the rights granted under the Agreement, which could have a material adverse effect on its business, financial condition, results of operations, and prospects. At this time, the Company has not recorded an accrual related to this matter, as a loss is not considered probable. Although an unfavorable outcome is reasonably possible, the Company cannot reasonably estimate the amount of any potential loss or range of loss, if 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Subsequent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Registered Direct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14, 2026, the Company entered into a securities purchase agreement (the “Purchase Agreement”) with certain institutional investors, pursuant to which the Company agreed to sell to such investors 8,571,429 shares (the “Shares”) of common stock of the Company (the “Common Stock”) and accompanying warrants (the “Common Warrants”) to purchase up to 8,571,429 shares of Common Stock (the “Common Warrant Shares”), at a purchase price of $1.05 per share of Common Stock and accompanying Common Warrant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entered into the Purchase Agreement with certain of its officers and directors (the “Insiders”), pursuant to which the Company agreed to sell to such Insiders 721,649 shares of Common Stock (the “Insider Shares”) and 721,649 accompanying Common Warrants, at a purchase price of $1.455 per Insider Share and accompanying Common Warrant. Gross proceeds from the offering were $10.1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Common Warrants have an exercise price of $1.31 per share ($1.33 for Insiders), will be exercisable beginning on the later of (i) six months after issuance or (ii) Authorized Share Increase Date (as defined below) (the “Initial Exercise Date”) and will have a term of exercise equal to five and one-half years after the Initial Exercise Date. "Authorized Share Increase Date" means the date on which an amendment to our certificate of incorporation increasing the number of authorized shares of our common stock to an amount sufficient for the exercise in full of the Common Warrants is filed with and accepted by the State of Delaware, subject to approval of such amendment by our stockholders. The Company has agreed to file a proxy statement on or prior to the date that is forty-five (45) days following the closing of this offering for the purpose of obtaining such stockholder approval, and if we do not obtain such approval at the first meeting, to call a meeting every sixty (60) days thereafter until such approval is obtained or the Common Warrants are no longer outstanding.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4" w:name="item_2_mda"/>
      <w:bookmarkEnd w:id="24"/>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business and financial performance may be affected by the factors that are discussed under “Risk Factors” in the Annual Report on Form 10-K for the year ended December 31, 2025, filed on February 24, 2026. Moreover, we operate in a very competitive and rapidly changing environment.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and analysis is qualified in its entirety by, and should be read in conjunction with, the more detailed information set forth in the financial statements and the notes thereto appearing elsewhere in this Quarterly Report on Form 10-Q. This discussion should not be construed to imply that the results discussed herein will necessarily continue into the future, or that any conclusion reached herein will necessarily be indicative of actual operating results in the future. Such discussion represents only the best present assessment of our management.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advancing innovative cancer treatments focused on PLK1 inhibition, a validated oncology drug target with practice-changing potential. Our lead asset, onvansertib, is a highly specific, oral PLK1 inhibitor currently being evaluated in a Phase 2 trial for first-line treatment of RAS-mutated metastatic colorectal cancer ("mCRC"), addressing a large, underserved patient population with high unmet need. Onvansertib is also under investigation in other PLK1-driven cancers through investigator-initiated trials such as metastatic pancreatic ductal adenocarcinoma ("mPDAC"), small cell lung cancer ("SCLC"), and metastatic triple negative breast cancer ("mTNBC"). Additionally, onvansertib has also shown promising single agent activity in an ongoing investigator-initiated trial in chronic myelomonocytic leukemia ("CMML"). These programs and our broader development strategy are designed to target tumor vulnerabilities and deliver improved clinical outcomes in patients with cancer. Our clinical development programs incorporate tumor genomics and biomarker assays to refine patient selection and assessment of patient response to treatment.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Lead Drug Candidate, Onvansertib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attributes of onvansertib and its early clinical evidence of favorable safety and efficacy, with expected on-target, manageable and tolerable side effects, may prove beneficial in addressing clinical therapeutic needs across a variety of cancers. Key attributes of onvansertib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Highly potent and highly selective against the PLK1 enzyme (IC</w:t>
      </w:r>
      <w:r>
        <w:rPr>
          <w:rFonts w:ascii="Times New Roman" w:hAnsi="Times New Roman"/>
          <w:color w:val="000000"/>
          <w:sz w:val="13"/>
        </w:rPr>
        <w:t>50</w:t>
      </w:r>
      <w:r>
        <w:rPr>
          <w:color w:val="000000"/>
        </w:rPr>
        <w:t xml:space="preserve"> </w:t>
      </w:r>
      <w:r>
        <w:rPr>
          <w:rFonts w:ascii="Times New Roman" w:hAnsi="Times New Roman"/>
          <w:color w:val="000000"/>
          <w:sz w:val="20"/>
        </w:rPr>
        <w:t>= 2nM; IC</w:t>
      </w:r>
      <w:r>
        <w:rPr>
          <w:rFonts w:ascii="Times New Roman" w:hAnsi="Times New Roman"/>
          <w:color w:val="000000"/>
          <w:sz w:val="13"/>
        </w:rPr>
        <w:t>50</w:t>
      </w:r>
      <w:r>
        <w:rPr>
          <w:color w:val="000000"/>
        </w:rPr>
        <w:t xml:space="preserve"> </w:t>
      </w:r>
      <w:r>
        <w:rPr>
          <w:rFonts w:ascii="Times New Roman" w:hAnsi="Times New Roman"/>
          <w:color w:val="000000"/>
          <w:sz w:val="20"/>
        </w:rPr>
        <w:t>is the concentration for 50% inhibition), compared to prior PLK1 inhibitors that were pan-inhibitors of several PLK targets. Low or no activity of onvansertib was observed on a panel of 63 kinases (IC</w:t>
      </w:r>
      <w:r>
        <w:rPr>
          <w:rFonts w:ascii="Times New Roman" w:hAnsi="Times New Roman"/>
          <w:color w:val="000000"/>
          <w:sz w:val="13"/>
        </w:rPr>
        <w:t>50</w:t>
      </w:r>
      <w:r>
        <w:rPr>
          <w:rFonts w:ascii="Times New Roman" w:hAnsi="Times New Roman"/>
          <w:color w:val="000000"/>
          <w:sz w:val="20"/>
        </w:rPr>
        <w:t>&gt;500 nM), including the PLK members PLK2 and PLK3 (IC</w:t>
      </w:r>
      <w:r>
        <w:rPr>
          <w:rFonts w:ascii="Times New Roman" w:hAnsi="Times New Roman"/>
          <w:color w:val="000000"/>
          <w:sz w:val="13"/>
        </w:rPr>
        <w:t>50</w:t>
      </w:r>
      <w:r>
        <w:rPr>
          <w:rFonts w:ascii="Times New Roman" w:hAnsi="Times New Roman"/>
          <w:color w:val="000000"/>
          <w:sz w:val="20"/>
        </w:rPr>
        <w:t>&gt;10,000 nM);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Orally bioavailable, allowing for relative ease and flexibility of dosing;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Relatively short drug half-life of 24 hours, allowing for flexible dosing and scheduling that has demonstrated a favorable safety profile across multiple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In vitro</w:t>
      </w:r>
      <w:r>
        <w:rPr>
          <w:rFonts w:ascii="Times New Roman" w:hAnsi="Times New Roman"/>
          <w:color w:val="000000"/>
          <w:sz w:val="20"/>
        </w:rPr>
        <w:t xml:space="preserve"> studies have shown synergistic effects when onvansertib was administered in combination with different cytotoxic agents including microtubule-targeting agents, topoisomerase 1 inhibitors, antimetabolites, alkylating agents, proteasome inhibitors, kinase inhibitors, PARP inhibitors, BCL-2 inhibitors, and androgen biosynthesis inhibitors.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w:t>
      </w:r>
      <w:r>
        <w:rPr>
          <w:rFonts w:ascii="Times New Roman" w:hAnsi="Times New Roman"/>
          <w:i/>
          <w:color w:val="000000"/>
          <w:sz w:val="20"/>
        </w:rPr>
        <w:t>in vivo</w:t>
      </w:r>
      <w:r>
        <w:rPr>
          <w:rFonts w:ascii="Times New Roman" w:hAnsi="Times New Roman"/>
          <w:color w:val="000000"/>
          <w:sz w:val="20"/>
        </w:rPr>
        <w:t xml:space="preserve"> combination studies have confirmed the positive results obtained </w:t>
      </w:r>
      <w:r>
        <w:rPr>
          <w:rFonts w:ascii="Times New Roman" w:hAnsi="Times New Roman"/>
          <w:i/>
          <w:color w:val="000000"/>
          <w:sz w:val="20"/>
        </w:rPr>
        <w:t>in vitro</w:t>
      </w:r>
      <w:r>
        <w:rPr>
          <w:rFonts w:ascii="Times New Roman" w:hAnsi="Times New Roman"/>
          <w:color w:val="000000"/>
          <w:sz w:val="20"/>
        </w:rPr>
        <w:t xml:space="preserve"> and additive or synergistic effects on efficacy have been observed in xenograft models of onvansertib in combination with irinotecan, 5-fluorouracil ("5-FU"), abiraterone, PARP inhibitors, venetoclax, paclitaxel, and bevacizumab ("bev"). Combining onvansertib with standard of care ("SoC") cancer agents may provide opportunities for synergy with many cancer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ongoing clinical trials of onvansertib in select cancer indications: one trial (CRDF-004) in first-line treatment in patients with RAS-mutated mCRC, and investigator-initiated trials in first-line mPDAC, relapsed / refractory or advanced CMML as monotherapy, second-line relapsed SCLC as monotherapy, and second-line unresectable locally advanced or metastatic TNBC.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RAS-mutated mCRC Program:</w:t>
      </w:r>
    </w:p>
    <w:p>
      <w:pPr>
        <w:pStyle w:val="TextBody"/>
        <w:bidi w:val="0"/>
        <w:spacing w:before="120" w:after="283"/>
        <w:jc w:val="left"/>
        <w:rPr>
          <w:rFonts w:ascii="Times New Roman" w:hAnsi="Times New Roman"/>
          <w:sz w:val="20"/>
        </w:rPr>
      </w:pPr>
      <w:r>
        <w:rPr>
          <w:rFonts w:ascii="Times New Roman" w:hAnsi="Times New Roman"/>
          <w:b/>
          <w:color w:val="000000"/>
          <w:sz w:val="20"/>
        </w:rPr>
        <w:t>CRDF-004 Randomized Clinical Trial in First-Line RAS-mutated mCRC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CRDF-004 is a Phase 2, randomized, open label multi-center clinical trial to assess the efficacy of two different doses of onvansertib (20 mg and 30 mg) in combination with FOLFIRI/bev or FOLFOX/bev, compared with FOLFIRI/bev or FOLFOX/bev SoC alone, for the treatment of mCRC in patients with a KRAS or NRAS mutation in the first-line setting. Trial endpoints include objective response rate ("ORR"), progression-free survival ("PFS") and duration of response ("DoR") together with pharmacokinetics, pharmacodynamics and safety assessments. The primary goal of the clinical trial is to select the safe and efficacious dose of onvansertib plus appropriate standard of care regimen for the Phase 3 trial based on a benefit-risk assessment of the totality of the evidence, including numerical differences between the onvansertib and SoC arms. The trial has enrolled 110 patients in the intent-to-treat ("ITT") population and is being conducted in partnership with Pfizer Ignite, an end-to-end service for biotech companies. For more information, please visit NCT06106308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Data highlights from the ongoing Phase 2 trial were presented at the ASCO Meeting on June 2, 2026, using a data cut of March 18, 2026. Overall, results showed that the onvansertib 30 mg + FOLFIRI/bev dose regimen, demonstrated deep and durable tumor shrinkage, including clinically meaningful improvements in ORR and PFS compared to SoC alone, with no additive adverse events. In the ITT population, the dose selected for the registrational program, 30 mg onvansertib arm in combination with FOLFIRI/ bev achieved: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Primary endpoint of confirmed objective response rate of 72.2% (13/18), compared with 42.1% (8/19) for FOLFIRI/bev alone, a 30% improvement over SoC. The responses were deeper and more durable in the onvansertib arm.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Secondary endpoint of PFS hazard ratio ("HR") of 0.55 (95% CI: 0.15–2.09) and 0.57 (95% CI: 0.20–1.65) vs. FOLFIRI/bev by Blinded Independent Central Review ("BICR") and investigator assessment ("IA"), respectively.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Median PFS not reached in 30 mg onvansertib + FOLFIRI/bev arm, but has been reached in both SoC arms. Four patients remain on onvansertib treatment beyond 15 months, including 2 beyond 20 months.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 meaningful differences in efficacy were observed between the onvansertib + FOLFOX/bev arms and FOLFOX/bev alone.</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Safety/Tolerability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Onvansertib in combination with both chemotherapy (FOLFIRI or FOLFOX)/bev regimens was well-tolerated. There were no major or unexpected toxicities observed, and no additive adverse events reported. Grade 3 or higher adverse events were infrequent, with neutropenia being the most common treatment-emergent adverse event across both the onvansertib combination and SoC arms.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Phase 2 trial is still ongoing and as of a June 23, 2026 data cut-off, 12 patients remain on trial, with 8 patients in the onvansertib (20 or 30 mg) plus FOLFIRI/bev arms and one patient remaining on SoC.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April 2026 we completed our End-of-Phase 2 Type B meeting with the U.S. Food and Drug Administration ("FDA"). Incorporating FDA feedback, we have designed the registrational Phase 3 trial (CRDF-005) as a global randomized, controlled trial that will evaluate the safety and efficacy of onvansertib 30 mg + FOLFIRI/bev as first-line therapy versus SoC FOLFIRI/bev in patients with RAS mutated mCRC. We expect to enroll approximately 640 patients across sites in the US, Europe and other regions. Additional details of the trial will be disclosed at the time of initiation of the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Additionally, we have initiated the process of soliciting scientific advice from the European Medicines Agency ("EMA") on our Phase 3 plans. We remain on track with the manufacturing of clinical material and also with companion diagnostic related regulatory activities as we prepare for the registrational trial.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Clinical Programs: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support certain investigator-initiated trials by supplying onvansertib to academic clinicians who conduct clinical trials independently. These studies allow us to tap into the expertise of independent clinicians and academic investigators to explore new therapeutic indications or new dosage regimens at a low cost to us. By facilitating independent research, we have the opportunity to gain valuable evidence and safety data that can inform future regulatory decisions or improve our understanding of onvansertib’s efficacy. Furthermore, supporting investigator-initiated trials act as a collaborative effort that strengthens relationships with KOLs.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1b/2 Investigator-Initiated Clinical Trial in First-Line mPDAC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February 2024, the FDA approved NALIRIFOX as a first-line treatment option for mPDAC. As a result, we are currently supporting an investigator-initiated mPDAC Phase 1b/2 trial of onvansertib in combination with first-line SoC NALIRIFOX, at the University of Kansas Medical Center. The trail has completed enrollment, and data will be disclosed by the investigator after completion of the trial. For more information, please visit NCT06736717 at </w:t>
      </w:r>
      <w:r>
        <w:rPr>
          <w:rFonts w:ascii="Times New Roman" w:hAnsi="Times New Roman"/>
          <w:i/>
          <w:color w:val="000000"/>
          <w:sz w:val="20"/>
        </w:rPr>
        <w:t>www.clinicaltrials.gov.</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in this study is to determine anti-tumor activity by measuring ORR. The secondary objectives are to determine treatment safety based on toxicities in participants who have received at least one dose of onvansertib, to determine anti-tumor activity by PFS, Disease Control Rate ("DCR"), as well as Overall Survival ("OS").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Phase 2 Investigator-Initiated Clinical Trial in SCLC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single-arm, two-stage, Phase 2 trial of onvansertib monotherapy in patients with relapsed SCLC at the University of Maryland, Baltimore completed enrollment of 15 patients in Stage 1, with the study proceeding to Stage 2 if two or more Stage 1 patients achieve an objective response. Stage 2 is designed to enroll an additional 20 patients. The primary endpoint of the trial is ORR, while key secondary endpoints include PFS and OS. For more information, please visit NCT05450965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examination of the safety data from the first six patients by the institutional review board confirmed the trial can continue to enroll as planned. Preliminary efficacy data for seven patients presented on September 26, 2023, showed one confirmed partial response (“PR”), three stable disease (“SD”) and three progressive disease (“PD”). The DCR, including PR and SD, is 57% (4 of 7 patients).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1b Investigator-Initiated Clinical Trial in mTNBC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single-arm, phase 1b trial of onvansertib in combination with paclitaxel in patients with unresectable locally advanced or metastatic TNBC at Dana Farber Cancer Institute ("DFCI") has completed enrollment. The trial was designed to treat approximately 14-16 patients with different doses of onvansertib in combination with a fixed dose of paclitaxel to determine the maximum tolerated dose and the safety and efficacy of onvansertib in combination with paclitaxel. For more information, please visit NCT05383196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investigator presented promising data from this trial at ASCO: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enrolled in the trial received a median of 3 prior lines of chemotherapy.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Onvansertib in combination with paclitaxel demonstrated 40% objective response rate by RECIST 1.1 at RP2D of 18mg/m</w:t>
      </w:r>
      <w:r>
        <w:rPr>
          <w:rFonts w:ascii="Times New Roman" w:hAnsi="Times New Roman"/>
          <w:color w:val="000000"/>
          <w:sz w:val="13"/>
        </w:rPr>
        <w:t>2</w:t>
      </w:r>
      <w:r>
        <w:rPr>
          <w:color w:val="000000"/>
        </w:rPr>
        <w:t xml:space="preserve"> </w:t>
      </w:r>
      <w:r>
        <w:rPr>
          <w:rFonts w:ascii="Times New Roman" w:hAnsi="Times New Roman"/>
          <w:color w:val="000000"/>
          <w:sz w:val="20"/>
        </w:rPr>
        <w:t>(n=10), with two confirmed partial responses and two unconfirmed partial responses.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combination of onvansertib and paclitaxel was well-tolerated and demonstrated a safe and manageable toxicity profile with myelosuppression being the most common adverse event.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clinical data further support the potential exploration of the combination of onvansertib plus paclitaxel for the treatment of mTNBC.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Phase 1 Investigator-Initiated Clinical Trial in CMML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This Phase 1 trial is designed to evaluate the safety, effectiveness, and best dose of onvansertib as a monotherapy for the treatment of patients with CMML and Myelodysplastic syndrome/myeloproliferative neoplasm ("MDS/MPN") overlap neoplasms that have come back (recurrent) or that do not respond to treatment (refractory). For more information, please visit NCT05549661 at </w:t>
      </w:r>
      <w:r>
        <w:rPr>
          <w:rFonts w:ascii="Times New Roman" w:hAnsi="Times New Roman"/>
          <w:i/>
          <w:color w:val="000000"/>
          <w:sz w:val="20"/>
        </w:rPr>
        <w:t>www.clinicialtrials.gov</w:t>
      </w:r>
      <w:r>
        <w:rPr>
          <w:rFonts w:ascii="Times New Roman" w:hAnsi="Times New Roman"/>
          <w:color w:val="000000"/>
          <w:sz w:val="20"/>
        </w:rPr>
        <w:t>.</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Data presented at the American Society of Hematology ("ASH") meeting on December 8, 2025, from this ongoing Phase 1 dose-escalation trial (N=9) showed that onvansertib monotherapy was generally well-tolerated and demonstrated preliminary efficacy in approximately 40% of patients. One patient achieved an optimal marrow response at the 9 mg/m² dose and three patients achieved clinical benefit at 6 mg/m</w:t>
      </w:r>
      <w:r>
        <w:rPr>
          <w:rFonts w:ascii="Times New Roman" w:hAnsi="Times New Roman"/>
          <w:color w:val="000000"/>
          <w:sz w:val="13"/>
        </w:rPr>
        <w:t>2</w:t>
      </w:r>
      <w:r>
        <w:rPr>
          <w:rFonts w:ascii="Times New Roman" w:hAnsi="Times New Roman"/>
          <w:color w:val="000000"/>
          <w:sz w:val="20"/>
        </w:rPr>
        <w:t xml:space="preserve"> and 12 mg/m</w:t>
      </w:r>
      <w:r>
        <w:rPr>
          <w:rFonts w:ascii="Times New Roman" w:hAnsi="Times New Roman"/>
          <w:color w:val="000000"/>
          <w:sz w:val="13"/>
        </w:rPr>
        <w:t>2</w:t>
      </w:r>
      <w:r>
        <w:rPr>
          <w:rFonts w:ascii="Times New Roman" w:hAnsi="Times New Roman"/>
          <w:color w:val="000000"/>
          <w:sz w:val="20"/>
        </w:rPr>
        <w:t>. Dose expansion is currently open and recruiting at the 12 mg/m</w:t>
      </w:r>
      <w:r>
        <w:rPr>
          <w:rFonts w:ascii="Times New Roman" w:hAnsi="Times New Roman"/>
          <w:color w:val="000000"/>
          <w:sz w:val="13"/>
        </w:rPr>
        <w:t>2</w:t>
      </w:r>
      <w:r>
        <w:rPr>
          <w:rFonts w:ascii="Times New Roman" w:hAnsi="Times New Roman"/>
          <w:color w:val="000000"/>
          <w:sz w:val="20"/>
        </w:rPr>
        <w:t xml:space="preserve"> dose.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findings, together with previously reported results from an investigator-sponsored trial in small cell lung cancer, support onvansertib’s single-agent activity across both hematologic and solid tumors.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Updates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Appointment of Chief Executive Officer, Chief Financial Officer, and Chief Operating Officer</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April 9, 2026, we announced the appointment of Mani Mohindru, PhD, as President and Chief Executive Officer (CEO), following her time as Interim CEO. She will continue as a member of the Board of Directors. We also appointed Josh Muntner as Chief Financial Officer and Ajay Aggarwal, MD, MBA, as Chief Operating Officer, effective April 6 and April 27, respectively. Together, these appointments reflect our commitment to building an experienced leadership team to advance onvansertib and deliver on the program’s long-term potential. </w:t>
      </w:r>
    </w:p>
    <w:p>
      <w:pPr>
        <w:pStyle w:val="TextBody"/>
        <w:bidi w:val="0"/>
        <w:jc w:val="left"/>
        <w:rPr>
          <w:rFonts w:ascii="Times New Roman" w:hAnsi="Times New Roman"/>
          <w:b/>
          <w:color w:val="000000"/>
          <w:sz w:val="20"/>
        </w:rPr>
      </w:pPr>
      <w:r>
        <w:rPr>
          <w:rFonts w:ascii="Times New Roman" w:hAnsi="Times New Roman"/>
          <w:b/>
          <w:color w:val="000000"/>
          <w:sz w:val="20"/>
        </w:rPr>
        <w:t>Presented Preclinical Data on PLK1 Inhibitor Onvansertib in Combination with Her2-Targeted ADC at AACR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19, 2026, we presented new preclinical data in a poster at the American Association for Cancer Research ("AACR"). The data highlight the potential of onvansertib in combination with the HER-2 targeted antibody-drug conjugate ("ADC"), trastuzumab deruxtecan ("T-DXd"), demonstrating robust antitumor activity and the ability to overcome resistance in HER2-low breast cancer models.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accounting policies are described in ITEM 7. MANAGEMENT’S DISCUSSION AND ANALYSIS OF FINANCIAL CONDITION AND RESULTS OF OPERATIONS of our Annual Report on Form 10-K as of and for the year ended December 31, 2025, filed with the SEC on February 24, 2026. There have been no changes to our critical accounting estimates since December 31, 2025.</w:t>
      </w:r>
    </w:p>
    <w:p>
      <w:pPr>
        <w:pStyle w:val="TextBody"/>
        <w:bidi w:val="0"/>
        <w:spacing w:before="360" w:after="283"/>
        <w:jc w:val="left"/>
        <w:rPr>
          <w:rFonts w:ascii="Times New Roman" w:hAnsi="Times New Roman"/>
          <w:b/>
          <w:color w:val="000000"/>
          <w:sz w:val="20"/>
        </w:rPr>
      </w:pPr>
      <w:bookmarkStart w:id="25" w:name="section19"/>
      <w:bookmarkEnd w:id="25"/>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Three Months Ended June 30,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revenues were $0.1 million for the three months ended June 30, 2026, as compared to $0.1 million for the prior period. Revenues are from our sales-based or usage-based royalties on other intellectual property licenses, unrelated to onvansertib. Revenue recognition of the royalty depends on the timing and overall sales activities of the licensees.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consisted of the following:</w:t>
      </w:r>
    </w:p>
    <w:p>
      <w:pPr>
        <w:pStyle w:val="TextBody"/>
        <w:bidi w:val="0"/>
        <w:jc w:val="left"/>
        <w:rPr/>
      </w:pPr>
      <w:r>
        <w:rPr/>
        <w:t> </w:t>
      </w:r>
    </w:p>
    <w:tbl>
      <w:tblPr>
        <w:tblW w:w="7701"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676"/>
        <w:gridCol w:w="146"/>
        <w:gridCol w:w="146"/>
        <w:gridCol w:w="218"/>
        <w:gridCol w:w="652"/>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staff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 outside services, and lab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$5.7 million for the three months ended June 30, 2026, compared to the same period in 2025. The overall decrease of research and development expenses was related to the completion of clinical trials, as well as fewer patients still on treatment in our Phase 2 mCRC trial, and a reduction in pre-clinical activities as we focus on our upcoming Phase 3 mCRC trial.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consisted of the following:</w:t>
      </w:r>
    </w:p>
    <w:p>
      <w:pPr>
        <w:pStyle w:val="TextBody"/>
        <w:bidi w:val="0"/>
        <w:jc w:val="left"/>
        <w:rPr/>
      </w:pPr>
      <w:r>
        <w:rPr/>
        <w:t> </w:t>
      </w:r>
    </w:p>
    <w:tbl>
      <w:tblPr>
        <w:tblW w:w="7161" w:type="dxa"/>
        <w:jc w:val="left"/>
        <w:tblInd w:w="0" w:type="dxa"/>
        <w:tblLayout w:type="fixed"/>
        <w:tblCellMar>
          <w:top w:w="28" w:type="dxa"/>
          <w:left w:w="28" w:type="dxa"/>
          <w:bottom w:w="28" w:type="dxa"/>
          <w:right w:w="28" w:type="dxa"/>
        </w:tblCellMar>
      </w:tblPr>
      <w:tblGrid>
        <w:gridCol w:w="3606"/>
        <w:gridCol w:w="146"/>
        <w:gridCol w:w="211"/>
        <w:gridCol w:w="571"/>
        <w:gridCol w:w="146"/>
        <w:gridCol w:w="146"/>
        <w:gridCol w:w="211"/>
        <w:gridCol w:w="571"/>
        <w:gridCol w:w="146"/>
        <w:gridCol w:w="146"/>
        <w:gridCol w:w="265"/>
        <w:gridCol w:w="605"/>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staff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Selling, general and administrative expenses increased by $0.5 million for the three months ended June 30, 2026, compared to the same period in 2025. The overall increase in expenses, primarily from outside services and professional fees, is primarily related to attorney costs for our intellectual property dispute with NMS. The decrease in stock-based compensation was a result of the departure of our former CEO and CFO during the first quarter of 2026, resulting in lower ongoing equity award expense.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was $0.4 million for the three months ended June 30, 2026 as compared to $0.8 million for the same period of 2025. Our interest income is primarily from our short-term investment portfolios and money market accounts. The amount of interest income earned varies each period based on the balance of our accounts and interest rates.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Six Months Ended June 30,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revenues were $0.1 million for the six months ended June 30, 2026, as compared to $0.2 million for the same period in 2025. Revenues are from our sales-based or usage-based royalties on other intellectual property licenses, unrelated to onvansertib. Revenue recognition of the royalty depends on the timing and overall sales activities of the licensees.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consisted of the following:</w:t>
      </w:r>
    </w:p>
    <w:p>
      <w:pPr>
        <w:pStyle w:val="TextBody"/>
        <w:bidi w:val="0"/>
        <w:jc w:val="left"/>
        <w:rPr/>
      </w:pPr>
      <w:r>
        <w:rPr/>
        <w:t> </w:t>
      </w:r>
    </w:p>
    <w:tbl>
      <w:tblPr>
        <w:tblW w:w="7806" w:type="dxa"/>
        <w:jc w:val="left"/>
        <w:tblInd w:w="0" w:type="dxa"/>
        <w:tblLayout w:type="fixed"/>
        <w:tblCellMar>
          <w:top w:w="28" w:type="dxa"/>
          <w:left w:w="28" w:type="dxa"/>
          <w:bottom w:w="28" w:type="dxa"/>
          <w:right w:w="28" w:type="dxa"/>
        </w:tblCellMar>
      </w:tblPr>
      <w:tblGrid>
        <w:gridCol w:w="4021"/>
        <w:gridCol w:w="146"/>
        <w:gridCol w:w="211"/>
        <w:gridCol w:w="676"/>
        <w:gridCol w:w="146"/>
        <w:gridCol w:w="146"/>
        <w:gridCol w:w="211"/>
        <w:gridCol w:w="676"/>
        <w:gridCol w:w="146"/>
        <w:gridCol w:w="146"/>
        <w:gridCol w:w="218"/>
        <w:gridCol w:w="652"/>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staff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 outside services, and lab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$9.4 million for the six months ended June 30, 2026, compared to the same period in 2025. The overall decrease of research and development expenses was related to the completion of clinical trials, as well as fewer patients still on treatment in our Phase 2 mCRC trial, and a reduction in pre-clinical activities as we focus on our upcoming Phase 3 mCRC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consisted of the following:</w:t>
      </w:r>
    </w:p>
    <w:p>
      <w:pPr>
        <w:pStyle w:val="TextBody"/>
        <w:bidi w:val="0"/>
        <w:jc w:val="left"/>
        <w:rPr/>
      </w:pPr>
      <w:r>
        <w:rPr/>
        <w:t> </w:t>
      </w:r>
    </w:p>
    <w:tbl>
      <w:tblPr>
        <w:tblW w:w="7161" w:type="dxa"/>
        <w:jc w:val="left"/>
        <w:tblInd w:w="0" w:type="dxa"/>
        <w:tblLayout w:type="fixed"/>
        <w:tblCellMar>
          <w:top w:w="28" w:type="dxa"/>
          <w:left w:w="28" w:type="dxa"/>
          <w:bottom w:w="28" w:type="dxa"/>
          <w:right w:w="28" w:type="dxa"/>
        </w:tblCellMar>
      </w:tblPr>
      <w:tblGrid>
        <w:gridCol w:w="3606"/>
        <w:gridCol w:w="146"/>
        <w:gridCol w:w="211"/>
        <w:gridCol w:w="571"/>
        <w:gridCol w:w="146"/>
        <w:gridCol w:w="146"/>
        <w:gridCol w:w="211"/>
        <w:gridCol w:w="571"/>
        <w:gridCol w:w="146"/>
        <w:gridCol w:w="146"/>
        <w:gridCol w:w="234"/>
        <w:gridCol w:w="636"/>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staff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Selling, general and administrative expenses increased by $2.6 million for the six months ended June 30, 2026, compared to the same period in 2025. The overall increase in expenses was primarily from employee severance agreements recorded to salaries and staff costs within the current period. The increase in outside services and professional fees is primarily related to attorney costs for our intellectual property dispute with NMS.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was $0.9 million for the six months ended June 30, 2026 as compared to $1.8 million for the same period of 2025. Our interest income is primarily from our short-term investment portfolios and money market accounts. The amount of interest income earned varies each period based on the balance of our accounts and interest rates.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6" w:name="section21"/>
      <w:bookmarkEnd w:id="26"/>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we had working capital of $24.8 million and $43.7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quarter end, on July 14, 2026, we completed a registered direct offering that generated gross proceeds of approximately $10.1 million. See Note 7, Subsequent Events, for additional information.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incurred net losses since our inception and have negative operating cash flows. As of June 30, 2026, we had $34.5 million in cash, cash equivalents and short-term investments. Based on our current projections, we expect that our capital resources are sufficient to fund our operations into the third quarter of 2027, which is not sufficient to meet our funding requirements for at least the next 12 months following the issuance of our financial statements. Management has performed an analysis and concluded that there exists a substantial doubt about our ability to continue as a going concern, see Note 1 </w:t>
      </w:r>
      <w:r>
        <w:rPr>
          <w:rFonts w:ascii="Times New Roman" w:hAnsi="Times New Roman"/>
          <w:i/>
          <w:color w:val="000000"/>
          <w:sz w:val="20"/>
        </w:rPr>
        <w:t>Business Organization and Overview - Going Concern Uncertainty</w:t>
      </w:r>
      <w:r>
        <w:rPr>
          <w:rFonts w:ascii="Times New Roman" w:hAnsi="Times New Roman"/>
          <w:color w:val="000000"/>
          <w:sz w:val="20"/>
        </w:rPr>
        <w:t xml:space="preserve"> to the financial statements for additional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drug development efforts are in their early stages, and we cannot make estimates of the costs or the time that our development efforts will take to complete, or the timing and amount of revenues related to the sale of our drug candidates. The risk of completion of any program is high because of the many uncertainties involved in developing new drug candidates to market, including the long duration of clinical testing, the specific performance of proposed products under stringent clinical trial protocols, extended regulatory approval and review cycles, our ability to raise additional capital, the nature and timing of research and development expenses, and competing technologies being developed by organizations with significantly greater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foreseeable future, we expect to continue to incur losses and require additional capital to further advance our clinical trial programs and support our other operations. We cannot be certain that additional funding will be available on acceptable terms, or at all. To the extent that we can raise additional funds by issuing equity securities, our stockholders may experience additional dilution.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Summary</w:t>
      </w:r>
    </w:p>
    <w:p>
      <w:pPr>
        <w:pStyle w:val="TextBody"/>
        <w:bidi w:val="0"/>
        <w:jc w:val="left"/>
        <w:rPr/>
      </w:pPr>
      <w:r>
        <w:rPr/>
        <w:t> </w:t>
      </w:r>
    </w:p>
    <w:tbl>
      <w:tblPr>
        <w:tblW w:w="6764"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736"/>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2026, was $24.1 million. Our primary use of cash was from our net loss of $21.6 million, adjusted for non-cash items of $2.9 million primarily related to stock-based compensation. The net change in our operating assets and liabilities increased cash used in operations by $5.3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$21.1 million. Our primary use of cash was from our net loss of $27.4 million, adjusted for non-cash items of $3.1 million primarily related to stock-based compensation. The net change in our operating assets and liabilities decreased cash used in operations by $3.2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our current and anticipated level of operating loss, we expect to continue to incur an operating cash outflow for the next several years.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2026 was $15.5 million, primarily related to maturities in excess of purchases of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2025 was $19.6 million, primarily related to purchases in excess of maturities and sales of marketable securities.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2026 was $254,000, from sales of common stock, warrants and employee stock options exercises.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was $3,000, from employee stock options exercises.</w:t>
      </w:r>
    </w:p>
    <w:p>
      <w:pPr>
        <w:pStyle w:val="TextBody"/>
        <w:bidi w:val="0"/>
        <w:spacing w:before="360" w:after="283"/>
        <w:jc w:val="left"/>
        <w:rPr>
          <w:rFonts w:ascii="Times New Roman" w:hAnsi="Times New Roman"/>
          <w:sz w:val="20"/>
        </w:rPr>
      </w:pPr>
      <w:bookmarkStart w:id="27" w:name="item_3_quantitative_and_qualitative"/>
      <w:bookmarkEnd w:id="27"/>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8" w:name="item_4_controls_and_procedures"/>
      <w:bookmarkEnd w:id="28"/>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performed an evaluation under the supervision and with the participation of our management, including our principal executive officer (CEO) and principal financial officer (CFO), of the effectiveness of our disclosure controls and procedures, as defined in Rule 13a-15(e) and 15d-15(e) under the Securities Exchange Act of 1934, as amended (the “Exchange Act”). Based on that evaluation, our principal executive officer and principal financial officer concluded that our disclosure controls and procedures were effective as of June 30, 2026, to provide reasonable assurance that information required to be disclosed by us in the reports filed or submitted by us under the Exchange Act is recorded, processed, summarized and reported within the time periods specified in the SEC’s rules and 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disclosure controls and procedures are designed to provide reasonable assurance of achieving their objectives as specified above. Management does not expect, however,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during the three months ended June 30, 2026, that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9" w:name="part_ii_other_information"/>
      <w:bookmarkEnd w:id="29"/>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30" w:name="item_1_legal_proceedings"/>
      <w:bookmarkEnd w:id="30"/>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called for by this item is incorporated herein by reference to the information set forth in "Note 6. Commitments and Contingencies” in the Notes to Consolidated Financial Statements included in Item 1 of this Report.</w:t>
      </w:r>
    </w:p>
    <w:p>
      <w:pPr>
        <w:pStyle w:val="TextBody"/>
        <w:bidi w:val="0"/>
        <w:spacing w:before="360" w:after="283"/>
        <w:jc w:val="left"/>
        <w:rPr>
          <w:rFonts w:ascii="Times New Roman" w:hAnsi="Times New Roman"/>
          <w:b/>
          <w:color w:val="000000"/>
          <w:sz w:val="20"/>
        </w:rPr>
      </w:pPr>
      <w:bookmarkStart w:id="31" w:name="item_1a_risk_factors"/>
      <w:bookmarkEnd w:id="31"/>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risk factors disclosed in our Form 10-K for the year ended December 31, 2025, except for the following: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Subject to Significant Litigation Risk and Cannot Predict the Outcome of Our Pending Lawsuit Against Our Licensor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initiated litigation against NMS alleging wrongful purported termination of the Agreement and other claims. NMS has responded with counterclaims. The outcome of litigation is inherently uncertain. There can be no assurance that we will prevail on any or all of our claims, that we will obtain the relief we are seeking, or that a court will agree with our legal interpretation of the Agreement or our characterization of NMS's conduct. If the court determines that NMS's termination was valid, we would lose the rights granted under the Agreement, which could have a material adverse effect on our business, financial condition, results of operations, and prospects.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Loss of Rights Under the Agreement Could Materially Disrupt Our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Agreement granted us an exclusive license to conduct research and to develop, make, use, offer for sale, sell, and import products or otherwise exploit NMS’s intellectual property rights that are integral to our development of onvansertib. If the termination of the Agreement is ultimately upheld, or if we are unable to obtain preliminary injunctive relief requiring continuation of our licensed rights during the pendency of this litigation through specific performance, we may be required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or significantly curtail certain business operations or product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alternative technology, intellectual property, or proprietary assets, which may not be available on commercially reasonable terms or at all;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 down or impair the value of assets associated with our use of the licensed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foregoing consequences could materially and adversely affect our business, financial condition, results of operations and prospects.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May Not Be Able to Obtain or Maintain Permanent or Preliminary Injunctive Relief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sought preliminary injunctive relief to preserve our rights under the Agreement during the course of litigation. There is no guarantee that a court will grant such relief. Courts apply exacting standards to the issuance of preliminary injunctions, including requirements that the moving party demonstrate, among other things, a likelihood of success on the merits, irreparable harm, that the balance of equities favors relief, and that an injunction is in the public interest. Our inability to obtain such relief could result in NMS enforcing or attempting to enforce some or all of the termination provisions of the Agreement pending final adjudication, which could disrupt our ability to operate our business in the ordinary course and cause irreparable harm to our business and financial performance.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Litigation Is Costly, Time-Consuming, and Could Divert Management Attention and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litigation of this nature is expensive and time-consuming. We expect to incur significant legal fees and other litigation costs in connection with this dispute. These costs could be substantial and may continue for an extended period, as complex commercial litigation frequently takes multiple years to resolve at the trial court level, with potential additional time for appellate proceedings. In addition, the attention and resources of our senior management team may be diverted from day-to-day business operations in connection with discovery, depositions, court proceedings, and settlement negotiations. This diversion of resources could negatively affect our ability to execute on our strategic priorities and could adversely affect our business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May Need to Established Financial Reserves That May Prove Inadequate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applicable accounting standards, we may be required to establish reserves for this litigation to the extent a loss is probable and can be reasonably estimated. However, the actual costs and liabilities associated with this litigation may exceed any reserves we have established, and there can be no assurance that our reserves are adequate. Changes in our assessment of the likely outcome, or developments during the course of the litigation, may require us to increase our reserves, which could have a material adverse effect on our reported financial results in the period in which such reserves are increased.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Litigation May Affect Our Ability to Raise Capital or Enter Into Strategic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pendency of this litigation could adversely affect our ability to raise additional equity or debt financing on favorable terms, or at all. Investors and lenders may perceive the litigation as a material contingent liability and may demand higher risk premiums, require additional covenants, or decline to participate in financing transactions until the matter is resolved. Similarly, the litigation may complicate or delay our ability to engage in mergers, acquisitions, or other strategic transactions, as potential counterparties may be unwilling to proceed in the face of unresolved material litigation. These constraints could limit our strategic and financial flexibility.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May Be Unable to Obtain Replacement License Rights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alleged termination of the Agreement is ultimately upheld, we may attempt to license the same or similar rights from NMS or from alternative sources. There is no guarantee that we will be able to negotiate a new license with NMS, or that such a license would be available on commercially acceptable terms. Alternative sources of equivalent intellectual property or technology may not exist, may be protected by third-party rights, may be subject to other encumbrances, or may not be available to us on terms that allow us to operate our business profitably. The failure to obtain replacement rights could have a material adverse effect on our business.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Litigation Outcomes Are Inherently Unpredictable and Subject to Appeal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prevail at the trial court level, NMS may appeal such a ruling, which could result in a reversal or modification of a favorable judgment, require additional litigation costs, and extend the period of uncertainty. Conversely, if an initial ruling is adverse to us, we may elect to appeal, which would similarly extend the litigation timeline and associated costs and uncertainty. The appellate process can take years and may not result in a final resolution that is more favorable to us than the initial ruling.</w:t>
      </w:r>
    </w:p>
    <w:p>
      <w:pPr>
        <w:pStyle w:val="TextBody"/>
        <w:bidi w:val="0"/>
        <w:spacing w:before="360" w:after="283"/>
        <w:jc w:val="left"/>
        <w:rPr>
          <w:rFonts w:ascii="Times New Roman" w:hAnsi="Times New Roman"/>
          <w:b/>
          <w:color w:val="000000"/>
          <w:sz w:val="20"/>
        </w:rPr>
      </w:pPr>
      <w:bookmarkStart w:id="32" w:name="item_2_unregistered_sales_of_equity"/>
      <w:bookmarkEnd w:id="32"/>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color w:val="000000"/>
          <w:sz w:val="20"/>
        </w:rPr>
        <w:t>None</w:t>
      </w:r>
      <w:r>
        <w:rPr>
          <w:rFonts w:ascii="Times New Roman" w:hAnsi="Times New Roman"/>
          <w:b/>
          <w:color w:val="000000"/>
          <w:sz w:val="20"/>
        </w:rPr>
        <w:t>.</w:t>
      </w:r>
    </w:p>
    <w:p>
      <w:pPr>
        <w:pStyle w:val="TextBody"/>
        <w:bidi w:val="0"/>
        <w:spacing w:before="360" w:after="283"/>
        <w:jc w:val="left"/>
        <w:rPr>
          <w:rFonts w:ascii="Times New Roman" w:hAnsi="Times New Roman"/>
          <w:b/>
          <w:color w:val="000000"/>
          <w:sz w:val="20"/>
        </w:rPr>
      </w:pPr>
      <w:bookmarkStart w:id="33" w:name="item_3_defaults_upon_senior_securities"/>
      <w:bookmarkEnd w:id="33"/>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34" w:name="item_4_mine_safety_disclosures"/>
      <w:bookmarkEnd w:id="34"/>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35" w:name="item_5_other_information"/>
      <w:bookmarkEnd w:id="35"/>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the Company’s directors or officers adopted or terminated any “Rule 10b5-1 trading arrangements” or any “non-Rule 10b5-1 trading arrangements,” as each term is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36" w:name="item_6_exhibits"/>
      <w:bookmarkEnd w:id="3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9"/>
        <w:gridCol w:w="146"/>
        <w:gridCol w:w="9260"/>
      </w:tblGrid>
      <w:tr>
        <w:trPr/>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0" w:type="dxa"/>
            <w:tcBorders/>
            <w:vAlign w:val="center"/>
          </w:tcPr>
          <w:p>
            <w:pPr>
              <w:pStyle w:val="TableContents"/>
              <w:bidi w:val="0"/>
              <w:spacing w:before="0" w:after="283"/>
              <w:jc w:val="left"/>
              <w:rPr>
                <w:sz w:val="4"/>
                <w:szCs w:val="4"/>
              </w:rPr>
            </w:pPr>
            <w:r>
              <w:rPr>
                <w:sz w:val="4"/>
                <w:szCs w:val="4"/>
              </w:rPr>
            </w:r>
          </w:p>
        </w:tc>
      </w:tr>
      <w:tr>
        <w:trPr/>
        <w:tc>
          <w:tcPr>
            <w:tcW w:w="799" w:type="dxa"/>
            <w:tcBorders/>
            <w:tcMar>
              <w:top w:w="0" w:type="dxa"/>
              <w:left w:w="0" w:type="dxa"/>
              <w:bottom w:w="0" w:type="dxa"/>
              <w:right w:w="0" w:type="dxa"/>
            </w:tcMar>
            <w:vAlign w:val="center"/>
          </w:tcPr>
          <w:p>
            <w:pPr>
              <w:pStyle w:val="TableContents"/>
              <w:bidi w:val="0"/>
              <w:spacing w:before="53"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30"/>
              <w:jc w:val="left"/>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Description of Exhibit</w:t>
            </w:r>
          </w:p>
        </w:tc>
      </w:tr>
      <w:tr>
        <w:trPr/>
        <w:tc>
          <w:tcPr>
            <w:tcW w:w="79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6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Form of Common Warrant (incorporated by reference to Exhibit 4.1 filed on Form 8-K on July 16, 2026)</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Form of Placement Agent Warrant (incorporated by reference to Exhibit 4.2 filed on Form 8-K on July 16, 2026)</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Securities Purchase Agreement (incorporated by reference to Exhibit 10.1 filed on Form 8-K on July 16, 2026)</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w:anchor="crdf-ex10_2.htm">
              <w:r>
                <w:rPr>
                  <w:rStyle w:val="InternetLink"/>
                  <w:rFonts w:ascii="Times New Roman" w:hAnsi="Times New Roman"/>
                  <w:color w:val="0000FF"/>
                  <w:sz w:val="22"/>
                  <w:u w:val="single"/>
                </w:rPr>
                <w:t>Employment Agreement dated August 10, 2026 between Mani Mohindru, Ph.D. and Cardiff Oncology, Inc.</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w:anchor="crdf-ex10_3.htm">
              <w:r>
                <w:rPr>
                  <w:rStyle w:val="InternetLink"/>
                  <w:rFonts w:ascii="Times New Roman" w:hAnsi="Times New Roman"/>
                  <w:color w:val="0000FF"/>
                  <w:sz w:val="22"/>
                  <w:u w:val="single"/>
                </w:rPr>
                <w:t>Employment Agreement dated August 10, 2026 between Joshua Muntner and Cardiff Oncology, Inc.</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w:anchor="crdf-ex10_4.htm">
              <w:r>
                <w:rPr>
                  <w:rStyle w:val="InternetLink"/>
                  <w:rFonts w:ascii="Times New Roman" w:hAnsi="Times New Roman"/>
                  <w:color w:val="0000FF"/>
                  <w:sz w:val="22"/>
                  <w:u w:val="single"/>
                </w:rPr>
                <w:t>Employment Agreement dated August 10, 2026 between Ajay Aggarwal, M.D. and Cardiff Oncology, Inc.</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w:anchor="crdf-ex31_1.htm">
              <w:r>
                <w:rPr>
                  <w:rStyle w:val="InternetLink"/>
                  <w:rFonts w:ascii="Times New Roman" w:hAnsi="Times New Roman"/>
                  <w:color w:val="0000FF"/>
                  <w:sz w:val="20"/>
                  <w:u w:val="single"/>
                </w:rPr>
                <w:t>Certification of Principal Executive Officer required by Rule 13a-14(a)/15d-14(a) under the Exchange Act.</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w:anchor="crdf-ex31_2.htm">
              <w:r>
                <w:rPr>
                  <w:rStyle w:val="InternetLink"/>
                  <w:rFonts w:ascii="Times New Roman" w:hAnsi="Times New Roman"/>
                  <w:color w:val="0000FF"/>
                  <w:sz w:val="20"/>
                  <w:u w:val="single"/>
                </w:rPr>
                <w:t>Certification of Principal Financial Officer required by Rule 13a-14(a)/15d-14(a) under the Exchange Act.</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w:anchor="crdf-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hyperlink w:anchor="crdf-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353" w:type="dxa"/>
        <w:jc w:val="left"/>
        <w:tblInd w:w="0" w:type="dxa"/>
        <w:tblLayout w:type="fixed"/>
        <w:tblCellMar>
          <w:top w:w="28" w:type="dxa"/>
          <w:left w:w="28" w:type="dxa"/>
          <w:bottom w:w="28" w:type="dxa"/>
          <w:right w:w="28" w:type="dxa"/>
        </w:tblCellMar>
      </w:tblPr>
      <w:tblGrid>
        <w:gridCol w:w="1471"/>
        <w:gridCol w:w="406"/>
        <w:gridCol w:w="2476"/>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CARDIFF ONCOLOGY, INC.</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Mani Mohindru</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Mani Mohindru</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CARDIFF ONCOLOGY, INC.</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 Muntner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 Muntner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8" w:name="crdf-ex10_2.htm"/>
      <w:bookmarkStart w:id="39" w:name="kscrdfex10_2"/>
      <w:bookmarkEnd w:id="38"/>
      <w:bookmarkEnd w:id="39"/>
      <w:r>
        <w:rPr>
          <w:rFonts w:ascii="Times New Roman" w:hAnsi="Times New Roman"/>
          <w:color w:val="000000"/>
          <w:sz w:val="24"/>
        </w:rPr>
        <w:t>Exhibit 10.2</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xml:space="preserve">) is made and entered into effective as of </w:t>
      </w:r>
      <w:r>
        <w:rPr>
          <w:rFonts w:ascii="Times New Roman" w:hAnsi="Times New Roman"/>
          <w:b/>
          <w:color w:val="000000"/>
          <w:sz w:val="24"/>
        </w:rPr>
        <w:t>August 10, 2026</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Mani Mohindru, Ph.D.</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and Cardiff Oncology,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R E C I T A L 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desires to employ Executive, and Executive desires to be employed by the Company, in each case effective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in connection with the foregoing, Executive shall be required to perform Executive’s duties and obligations hereunder on behalf of the Company, as appropriate, and such duties and obligations shall be enforceable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this Agreement supersedes any and all prior term sheets, employment agreements or similar agreements by and between Executive and the Company.</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consideration of the mutual covenants herein contained and the employment of Executive by the Company,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Definition of Terms</w:t>
      </w:r>
      <w:r>
        <w:rPr>
          <w:rFonts w:ascii="Times New Roman" w:hAnsi="Times New Roman"/>
          <w:color w:val="000000"/>
          <w:sz w:val="24"/>
        </w:rPr>
        <w:t>. The following terms referred to in this Agreement shall have the following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color w:val="000000"/>
        </w:rPr>
      </w:pPr>
      <w:r>
        <w:rPr>
          <w:color w:val="000000"/>
        </w:rPr>
        <w:t>“</w:t>
      </w:r>
      <w:r>
        <w:rPr>
          <w:rFonts w:ascii="Times New Roman" w:hAnsi="Times New Roman"/>
          <w:color w:val="000000"/>
          <w:sz w:val="24"/>
        </w:rPr>
        <w:t>Cause” shall mean the occurrence of any of the following, as determined by the Board in its sole discretion: (i) Executive’s failure to substantially perform Executive’s duties with the Company (other than any such failure resulting from Executive’s disability); (ii) Executive’s failure to comply, in any material respect, with any of the Company’s policies or the Confidentiality and Non-Disclosure Agreement; (iii) the Board’s determination that Executive failed in any material respect to carry out or comply with any lawful and reasonable directive of the Board; (iv) Executive’s conviction, plea of no contest, or plea of nolo contendere for any felony or crime involving moral turpitude; (v) Executive’s unlawful use or possession of illegal drugs on the Company’s or any affiliate’s premises; or (vi) Executive’s commission of an act of fraud, embezzlement, misappropriation, willful misconduct, or breach of fiduciary duty against the Company or any of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color w:val="000000"/>
        </w:rPr>
      </w:pPr>
      <w:r>
        <w:rPr>
          <w:color w:val="000000"/>
        </w:rPr>
        <w:t>“</w:t>
      </w:r>
      <w:r>
        <w:rPr>
          <w:rFonts w:ascii="Times New Roman" w:hAnsi="Times New Roman"/>
          <w:color w:val="000000"/>
          <w:sz w:val="24"/>
        </w:rPr>
        <w:t>Change of Control” shall have the same meaning as “Change in Control” under the Company’s equity incentive plan, as in effect on the date hereof, and shall be deemed to occur only upon the actual consummation of a Change in Control as so defined. For the avoidance of doubt, a Change of Control shall not be deemed to occur as a result of any pending, proposed, or contemplated transaction unless and until a Change of Control has actually occurred pursuant to the equity plan, and no Change of Control shall be deemed to occur for purposes of this Agreement unless such event also constitutes a change in control event within the meaning of Section 409A of the Internal Revenue Code, to the extent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means totally and permanently disabled as defined in the Company’s disability benefit plan applicable to senior executive officers as in effect on the date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color w:val="000000"/>
        </w:rPr>
      </w:pPr>
      <w:r>
        <w:rPr>
          <w:color w:val="000000"/>
        </w:rPr>
        <w:t>“</w:t>
      </w:r>
      <w:r>
        <w:rPr>
          <w:rFonts w:ascii="Times New Roman" w:hAnsi="Times New Roman"/>
          <w:color w:val="000000"/>
          <w:sz w:val="24"/>
        </w:rPr>
        <w:t>Good Reason” shall mean, without Executive’s express written consent, any of the following: (i) a material reduction of Executive’s duties, position or responsibilities; (ii) a reduction of Executive’s compensation, unless such reduction is the result of Company financial difficulties and/or is part of a Company-wide reduction of compensation of similarly situated Company employees; (iii) the relocation of Executive to a facility or location more than fifty (50) miles from Executive’s then current employment location; or (iv) a material breach by the Company of any agreement with Executive. In order for Executive to resign for Good Reason, within sixty (60) days after Executive first learns of the applicable event, Executive is required to give written notice of the event constituting Good Reason. This notice will trigger a thirty (30) day cure period. If the Company fails to cure this Good Reason event within thirty (30) days from the date of the written notice, Executive must resign from Executive’s employment within sixty (60) days from the end of the thirty (30) day cure period. Determination of whether Executive had Good Reason, and if so whether the Good Reason event was cured, shall be in the sole discretion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Duties and Scope of Position</w:t>
      </w:r>
      <w:r>
        <w:rPr>
          <w:rFonts w:ascii="Times New Roman" w:hAnsi="Times New Roman"/>
          <w:color w:val="000000"/>
          <w:sz w:val="24"/>
        </w:rPr>
        <w:t xml:space="preserve">. During the Term (as defined below), Executive will serve as </w:t>
      </w:r>
      <w:r>
        <w:rPr>
          <w:rFonts w:ascii="Times New Roman" w:hAnsi="Times New Roman"/>
          <w:b/>
          <w:color w:val="000000"/>
          <w:sz w:val="24"/>
        </w:rPr>
        <w:t>President and Chief Executive Officer</w:t>
      </w:r>
      <w:r>
        <w:rPr>
          <w:color w:val="000000"/>
        </w:rPr>
        <w:t xml:space="preserve"> </w:t>
      </w:r>
      <w:r>
        <w:rPr>
          <w:rFonts w:ascii="Times New Roman" w:hAnsi="Times New Roman"/>
          <w:color w:val="000000"/>
          <w:sz w:val="24"/>
        </w:rPr>
        <w:t xml:space="preserve">of the Company, reporting to the Board of Directors of the Company, and assuming and discharging such responsibilities as are commensurate with Executive’s position. During the Term, Executive will provide services in a manner that will faithfully and diligently further the business of the Company and will devote a substantial portion of Executive’s business time, attention and energy thereto. Notwithstanding the foregoing, nothing in this Agreement shall restrict Executive from managing Executive’s personal investments, or serving on civic or charitable boards or committees, provided that no such activities unduly interfere, individually or in the aggregate, with the performance of Executive’s obligations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xml:space="preserve">. The term of Executive’s employment under this Agreement shall commence as of the Effective Date and shall continue until August 10, 2029, unless earlier terminated in accordance with Section 9 hereof. The term of Executive’s employment shall be automatically renewed for successive one (1) year periods until the Executive or the Company delivers to the other party a written notice of their intent not to renew such employment, such written notice to be delivered at least sixty (60) days prior to the expiration of the then-effective Term as that term is defined below. The period commencing as of the Effective Date and ending on Executive’s last date of employment with the Company under this Agreement is the “Term” and the end of the Term is referred to herein as the “Expiration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Base Compensation</w:t>
      </w:r>
      <w:r>
        <w:rPr>
          <w:rFonts w:ascii="Times New Roman" w:hAnsi="Times New Roman"/>
          <w:color w:val="000000"/>
          <w:sz w:val="24"/>
        </w:rPr>
        <w:t>. The Company shall pay to Executive a base compensation (the “</w:t>
      </w:r>
      <w:r>
        <w:rPr>
          <w:rFonts w:ascii="Times New Roman" w:hAnsi="Times New Roman"/>
          <w:color w:val="000000"/>
          <w:sz w:val="24"/>
          <w:u w:val="single"/>
        </w:rPr>
        <w:t>Base Compensation</w:t>
      </w:r>
      <w:r>
        <w:rPr>
          <w:color w:val="000000"/>
        </w:rPr>
        <w:t>”</w:t>
      </w:r>
      <w:r>
        <w:rPr>
          <w:rFonts w:ascii="Times New Roman" w:hAnsi="Times New Roman"/>
          <w:color w:val="000000"/>
          <w:sz w:val="24"/>
        </w:rPr>
        <w:t xml:space="preserve">) of $655,000 per year (prorated for any partial year), payable at such times as the Company customarily pays its other senior executives (but in any event no less often than monthly). In addition, each year during the Term, Executive shall be reviewed for purposes of determining the appropriateness of Executive’s Base Compensation hereunder. The Base Compensation shall be subject to all federal, state and local payroll tax withholding and any other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withholdings required by law. For purposes of the Agreement, the term “</w:t>
      </w:r>
      <w:r>
        <w:rPr>
          <w:rFonts w:ascii="Times New Roman" w:hAnsi="Times New Roman"/>
          <w:color w:val="000000"/>
          <w:sz w:val="24"/>
          <w:u w:val="single"/>
        </w:rPr>
        <w:t>Base Compensation</w:t>
      </w:r>
      <w:r>
        <w:rPr>
          <w:color w:val="000000"/>
        </w:rPr>
        <w:t xml:space="preserve">” </w:t>
      </w:r>
      <w:r>
        <w:rPr>
          <w:rFonts w:ascii="Times New Roman" w:hAnsi="Times New Roman"/>
          <w:color w:val="000000"/>
          <w:sz w:val="24"/>
        </w:rPr>
        <w:t>as of any point in time shall refer to the Base Compensation as adjusted pursuant to this Section 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Benefits; Expense Reimbursement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Benefits</w:t>
      </w:r>
      <w:r>
        <w:rPr>
          <w:rFonts w:ascii="Times New Roman" w:hAnsi="Times New Roman"/>
          <w:color w:val="000000"/>
          <w:sz w:val="24"/>
        </w:rPr>
        <w:t>. During the Term, Executive shall be entitled to participate in all company employee benefit plans. In the event Executive elects to pay to a self-funded health insurance program, Executive shall be reimbursed by the Company for such costs up to the maximum amount the Company would be obligated to pay for similar benefits pursuant to its health insurance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During the Term, the Company shall promptly reimburse Executive for all expenses reasonably and necessarily incurred by Executive in connection with the business of the Company, consistent with Company policies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Target Bonus. In addition to Executive’s Base Compensation, Executive shall be eligible for an annual bonus opportunity of up to 55% of Base Compensation, with performance milestones for each fiscal year to be determined by the Board or its compensation committee in its sole discretion. Except as otherwise expressly provided in this Agreement in section 10, Executive must be actively employed by the Company at the time the applicable bonus is paid in order to be eligible to receive any bonus. The determinations of the Board or its compensation committee with respect to bonuses will be final and binding.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Equity Award</w:t>
      </w:r>
      <w:r>
        <w:rPr>
          <w:rFonts w:ascii="Times New Roman" w:hAnsi="Times New Roman"/>
          <w:color w:val="000000"/>
          <w:sz w:val="24"/>
        </w:rPr>
        <w:t>. Executive has been granted an equity-based compensation award (“</w:t>
      </w:r>
      <w:r>
        <w:rPr>
          <w:rFonts w:ascii="Times New Roman" w:hAnsi="Times New Roman"/>
          <w:color w:val="000000"/>
          <w:sz w:val="24"/>
          <w:u w:val="single"/>
        </w:rPr>
        <w:t>Award</w:t>
      </w:r>
      <w:r>
        <w:rPr>
          <w:color w:val="000000"/>
        </w:rPr>
        <w:t>”</w:t>
      </w:r>
      <w:r>
        <w:rPr>
          <w:rFonts w:ascii="Times New Roman" w:hAnsi="Times New Roman"/>
          <w:color w:val="000000"/>
          <w:sz w:val="24"/>
        </w:rPr>
        <w:t xml:space="preserve">) in accordance with </w:t>
      </w:r>
      <w:r>
        <w:rPr>
          <w:rFonts w:ascii="Times New Roman" w:hAnsi="Times New Roman"/>
          <w:color w:val="000000"/>
          <w:sz w:val="24"/>
          <w:u w:val="single"/>
        </w:rPr>
        <w:t>Exhibit C</w:t>
      </w:r>
      <w:r>
        <w:rPr>
          <w:color w:val="000000"/>
        </w:rPr>
        <w:t xml:space="preserve"> </w:t>
      </w:r>
      <w:r>
        <w:rPr>
          <w:rFonts w:ascii="Times New Roman" w:hAnsi="Times New Roman"/>
          <w:color w:val="000000"/>
          <w:sz w:val="24"/>
        </w:rPr>
        <w:t>attached hereto. Upon termination of Executive’s employment, the treatment of any portion of outstanding Award shall be determined in accordance with the terms of any agreements governing such award (“</w:t>
      </w:r>
      <w:r>
        <w:rPr>
          <w:rFonts w:ascii="Times New Roman" w:hAnsi="Times New Roman"/>
          <w:color w:val="000000"/>
          <w:sz w:val="24"/>
          <w:u w:val="single"/>
        </w:rPr>
        <w:t>Award Agreement</w:t>
      </w:r>
      <w:r>
        <w:rPr>
          <w:color w:val="000000"/>
        </w:rPr>
        <w:t>”</w:t>
      </w:r>
      <w:r>
        <w:rPr>
          <w:rFonts w:ascii="Times New Roman" w:hAnsi="Times New Roman"/>
          <w:color w:val="000000"/>
          <w:sz w:val="24"/>
        </w:rPr>
        <w:t>). Executive shall remain eligible to receive additional equity-based compensation awards as the Company may grant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Intentionally omitted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Termination by the Company</w:t>
      </w:r>
      <w:r>
        <w:rPr>
          <w:rFonts w:ascii="Times New Roman" w:hAnsi="Times New Roman"/>
          <w:color w:val="000000"/>
          <w:sz w:val="24"/>
        </w:rPr>
        <w:t xml:space="preserve">. Subject to the obligations of the Company set forth in Section 10 below, the Company may terminate Executive’s employment at any time and for any reason (or no reason), and with or without Cause, and without prejudice to any other right or remedy to which the Company or Executive may be entitled at law or in equity or under this Agreement. Notwithstanding the foregoing, in the event the Company desires to terminate the Executive’s employment without Cause, the Company shall give the Executive not less than sixty (60) days advance written notice.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Executive</w:t>
      </w:r>
      <w:r>
        <w:rPr>
          <w:rFonts w:ascii="Times New Roman" w:hAnsi="Times New Roman"/>
          <w:color w:val="000000"/>
          <w:sz w:val="24"/>
        </w:rPr>
        <w:t>. Executive may voluntarily terminate the Term upon sixty (60) days’ prior written notice for any reason or no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for Death or Disability</w:t>
      </w:r>
      <w:r>
        <w:rPr>
          <w:rFonts w:ascii="Times New Roman" w:hAnsi="Times New Roman"/>
          <w:color w:val="000000"/>
          <w:sz w:val="24"/>
        </w:rPr>
        <w:t xml:space="preserve">. Subject to the obligations of the Company set forth in Section 10 below, Executive’s employment shall terminate automatically upon Executive’s death. Subject to the obligations of the Company set forth in Section 10 below,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Executive is unable to perform Executive’s duties as a result of Disability during the Term, the Company shall have the right to terminate the employment of Executive by providing written notice of the effective date of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Payments Upon Termination of Employment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Termination for Cause, Death or Disability or Termination by Executive without Good Reason</w:t>
      </w:r>
      <w:r>
        <w:rPr>
          <w:rFonts w:ascii="Times New Roman" w:hAnsi="Times New Roman"/>
          <w:color w:val="000000"/>
          <w:sz w:val="24"/>
        </w:rPr>
        <w:t>. In the event that Executive’s employment hereunder is terminated during the Term by the Company for Cause, as a result of Executive’s death or Disability, or voluntarily by Executive without Good Reason, the Company shall compensate Executive (or in the case of death, Executive’s estate) as follows: on the date of termination, the Company shall pay Executive a lump sum amount equal to (i) any portion of unpaid Base Compensation then due for periods prior to the effective date of termination; (ii) any Bonus and Options earned and not yet paid or granted, as applicable, through the date of termination; and (iii) within 2-1/2 months following submission of proper expense reports by Executive or Executive’s estate, all expenses reasonably and necessarily incurred by Executive in connection with the business of the Company prior to the date of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Company Without Cause or by Executive for Good Reason</w:t>
      </w:r>
      <w:r>
        <w:rPr>
          <w:rFonts w:ascii="Times New Roman" w:hAnsi="Times New Roman"/>
          <w:color w:val="000000"/>
          <w:sz w:val="24"/>
        </w:rPr>
        <w:t>. In the event that Executive’s employment is terminated by the Company without Cause or by Executive for Good Reason, and subject to Executive’s execution and non-revocation of a release pursuant to Section 10(e), the Company shall provide the following severance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date of termination, the Company shall pay Executive any portion of unpaid Base Compensation then due for periods prior to the effective date of termination and reimbursement of all properly submitted business expenses incurred prior to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continue to pay Executive’s Base Compensation for twelve (12) months from the date of termination on the Company’s regular payroll dates.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also pay Executive a prorated portion of Executive’s Target Bonus (or Bonus based on actual performance as determined in good faith by the Board or the Compensation Committee) the Executive would have earned for the year in which the termination occurs, with such proration based on the number of days Executive was employed during such year divided by 365. This payment may be made when the Bonus is paid out to other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as of the termination date, a bonus for a completed prior fiscal year has not been paid yet, Executive shall remain eligible to receive such bonus when paid, in an amount determined by applying the same adjustments as are applied to bonuses paid to similarly situated active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reimburse Executive for the same amount that Executive was receiving as the normal Company co-pay for medical insurance for up to twelve (12) months, provided Executive maintains coverage through COBRA or an alternative source and timely submits proof of payment; such reimbursement will terminate if Executive obtains other employment through which Executive can obtain medical insurance, whether or not Executive elects such coverage.</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in the Context of a Change of Control</w:t>
      </w:r>
      <w:r>
        <w:rPr>
          <w:rFonts w:ascii="Times New Roman" w:hAnsi="Times New Roman"/>
          <w:color w:val="000000"/>
          <w:sz w:val="24"/>
        </w:rPr>
        <w:t>. In the event of Executive’s termination of employment with the Company either (i) by Executive for Good Reason at any time within twelve (12) months after the consummation of a Change of Control; or (ii) by the Company without Cause at any time upon or within twelve (12) months after the consummation of a Change of Control, this shall constitute a “Termination in the Context of a Change of Control” and Executive shall be entitled to the following payments and other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date of termination, the Company shall pay Executive any portion of unpaid Base Compensation then due for periods prior to the effective date of termination and reimbursement of all properly submitted business expenses incurred prior to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continue to pay Executive’s Base Compensation for twelve (12) months from the date of termination on the Company’s regular payroll dates.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also pay Executive a prorated portion of Executive’s Target Bonus (or Bonus based on actual performance as determined in good faith by the Board or the Compensation Committee) the Executive would have earned for the year in which the termination occurs, based on the number of days Executive was employed during such year divided by 365. This payment may be made when the Bonus is paid out to other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as of the termination date, a bonus for a completed prior fiscal year has not been paid yet, Executive shall remain eligible to receive such bonus when paid, in an amount determined by applying the same adjustments as are applied to bonuses paid to similarly situated active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reimburse Executive for the same amount that Executive was receiving as the normal Company co-pay for medical insurance for up to twelve (12) months, provided Executive maintains coverage through COBRA or an alternative source and timely submits proof of payment; such reimbursement will terminate if Executive obtains other employment through which Executive can obtain medical insurance, whether or not Executive elects such coverage.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provision of any stock incentive plan, stock option agreement, restricted stock agreement or other agreement relating to capital stock of the Company, all of the shares and equity awards held by Executive that are then unvested shall immediately vest and, with respect to all options, warrants and other convertible securities of the Company beneficially held by Executive, become fully exercisable for such period of time set forth in the agreement evidencing the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provision, “Change of Control” shall have the same meaning as “Change in Control” under the Company’s equity incentive plan, as in effect on the date hereof (the “Equity Plan”), and shall be deemed to occur only upon the actual consummation of a Change in Control as so defined. For the avoidance of doubt, a Change of Control shall not be deemed to occur as a result of any pending, proposed, or contemplated transaction unless and until both of the following two conditions have been met: (i) a Change of Control has actually occurred pursuant to the Equity Plan and (ii) such event also constitutes a change in control event within the meaning of Section 409A of the Internal Revenue Code, to the extent applicable.</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severance or equity acceleration tied to a Change of Control shall apply only upon an actual consummated Change of Control as defined in this Agreement and the applicable equity plan, and not based on any pending, proposed, or contemplated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Conditions to Payment</w:t>
      </w:r>
      <w:r>
        <w:rPr>
          <w:rFonts w:ascii="Times New Roman" w:hAnsi="Times New Roman"/>
          <w:color w:val="000000"/>
          <w:sz w:val="24"/>
        </w:rPr>
        <w:t>. All payments and benefits due to Executive under this Section 10 that are made subject to this Section 10(f) (such payments, “</w:t>
      </w:r>
      <w:r>
        <w:rPr>
          <w:rFonts w:ascii="Times New Roman" w:hAnsi="Times New Roman"/>
          <w:color w:val="000000"/>
          <w:sz w:val="24"/>
          <w:u w:val="single"/>
        </w:rPr>
        <w:t>Severance</w:t>
      </w:r>
      <w:r>
        <w:rPr>
          <w:color w:val="000000"/>
        </w:rPr>
        <w:t>”</w:t>
      </w:r>
      <w:r>
        <w:rPr>
          <w:rFonts w:ascii="Times New Roman" w:hAnsi="Times New Roman"/>
          <w:color w:val="000000"/>
          <w:sz w:val="24"/>
        </w:rPr>
        <w:t xml:space="preserve">), shall only be payable if Executive (or Executive’s beneficiary or estate) delivers to the Company and does not revoke (under the terms of applicable law) a general release of all claims substantially in the form attached hereto as </w:t>
      </w:r>
      <w:r>
        <w:rPr>
          <w:rFonts w:ascii="Times New Roman" w:hAnsi="Times New Roman"/>
          <w:color w:val="000000"/>
          <w:sz w:val="24"/>
          <w:u w:val="single"/>
        </w:rPr>
        <w:t>Exhibit A</w:t>
      </w:r>
      <w:r>
        <w:rPr>
          <w:rFonts w:ascii="Times New Roman" w:hAnsi="Times New Roman"/>
          <w:color w:val="000000"/>
          <w:sz w:val="24"/>
        </w:rPr>
        <w:t>. Such general release shall be executed and delivered to the Company within twenty-one (21) days of receipt by Executive, and shall no longer be subject to revocation seven (7) days following that execution. Failure to timely execute and return such release, or revocation of such release, shall be a waiver by Executive of Executive’s right to any Severance. If Executive’s review and revocation period for the release of claims required pursuant to this Section spans two of Executive’s taxable years, the first payment shall be made on the first regularly scheduled payroll date of the later taxable year following the effective date of such release of claims and shall include all amounts accrued prior thereto. In addition, Severance shall be conditioned on Executive’s compliance with Section 15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Additional Post-Employment Obligations</w:t>
      </w:r>
      <w:r>
        <w:rPr>
          <w:rFonts w:ascii="Times New Roman" w:hAnsi="Times New Roman"/>
          <w:color w:val="000000"/>
          <w:sz w:val="24"/>
        </w:rPr>
        <w:t>. During the twelve (12) month severance period, Executive will provide reasonable cooperation requested by the Company in matters arising from Executive’s service to the Company, subject to reimbursement of reasonable travel and out-of-pocket expenses. Executive shall not make defamatory remarks about the Company or its current or former employees, provided that nothing herein prohibits truthful statements required by law or protected communications with governmental agencies.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Code Section 409A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parties agree that this Agreement shall be interpreted to comply with or be exempt from Section 409A of the Code and the regulations and guidance promulgated thereunder to the extent applicable (collectively “</w:t>
      </w:r>
      <w:r>
        <w:rPr>
          <w:rFonts w:ascii="Times New Roman" w:hAnsi="Times New Roman"/>
          <w:color w:val="000000"/>
          <w:sz w:val="24"/>
          <w:u w:val="single"/>
        </w:rPr>
        <w:t>Code Section 409A</w:t>
      </w:r>
      <w:r>
        <w:rPr>
          <w:color w:val="000000"/>
        </w:rPr>
        <w:t>”</w:t>
      </w:r>
      <w:r>
        <w:rPr>
          <w:rFonts w:ascii="Times New Roman" w:hAnsi="Times New Roman"/>
          <w:color w:val="000000"/>
          <w:sz w:val="24"/>
        </w:rPr>
        <w:t>), and all provisions of this Agreement shall be construed in a manner consistent with the requirements for avoiding taxes or penalties under Code Section 409A. In no event whatsoever will the Company be liable for any additional tax, interest or penalties that may be imposed on Executive under Code Section 409A or any damages for failing to comply with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termination of employment shall not be deemed to have occurred for purposes of any provision of this Agreement providing for the payment of any amounts or benefits considered “nonqualified deferred compensation” under Code Section 409A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If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be made or provided at the date which is the earlier of (i) the expiration of the six (6)-month period measured from the date of such “separation from service” of Executive,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and (ii) the date of Executive’s death (the “</w:t>
      </w:r>
      <w:r>
        <w:rPr>
          <w:rFonts w:ascii="Times New Roman" w:hAnsi="Times New Roman"/>
          <w:color w:val="000000"/>
          <w:sz w:val="24"/>
          <w:u w:val="single"/>
        </w:rPr>
        <w:t>Delay Period</w:t>
      </w:r>
      <w:r>
        <w:rPr>
          <w:color w:val="000000"/>
        </w:rPr>
        <w:t>”</w:t>
      </w:r>
      <w:r>
        <w:rPr>
          <w:rFonts w:ascii="Times New Roman" w:hAnsi="Times New Roman"/>
          <w:color w:val="000000"/>
          <w:sz w:val="24"/>
        </w:rPr>
        <w:t xml:space="preserve">). Upon the expiration of the Delay Period, all payments and benefits delayed pursuant to this </w:t>
      </w:r>
      <w:r>
        <w:rPr>
          <w:rFonts w:ascii="Times New Roman" w:hAnsi="Times New Roman"/>
          <w:color w:val="000000"/>
          <w:sz w:val="24"/>
          <w:u w:val="single"/>
        </w:rPr>
        <w:t>Section 13.7(b)</w:t>
      </w:r>
      <w:r>
        <w:rPr>
          <w:color w:val="000000"/>
        </w:rPr>
        <w:t xml:space="preserve"> </w:t>
      </w:r>
      <w:r>
        <w:rPr>
          <w:rFonts w:ascii="Times New Roman" w:hAnsi="Times New Roman"/>
          <w:color w:val="000000"/>
          <w:sz w:val="24"/>
        </w:rPr>
        <w:t>(whether they would have otherwise been payable in a single sum or in installments in the absence of such delay) shall be paid or reimbursed on the first business day following the expiration of the Delay Period to Executive in a lump sum, and any remaining payments and benefits due under this Agreement shall be paid or provided in accordance with the normal payment dates specified for them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w:t>
      </w:r>
      <w:r>
        <w:rPr>
          <w:rFonts w:ascii="Times New Roman" w:hAnsi="Times New Roman"/>
          <w:color w:val="000000"/>
          <w:sz w:val="24"/>
          <w:u w:val="single"/>
        </w:rPr>
        <w:t>provided</w:t>
      </w:r>
      <w:r>
        <w:rPr>
          <w:rFonts w:ascii="Times New Roman" w:hAnsi="Times New Roman"/>
          <w:color w:val="000000"/>
          <w:sz w:val="24"/>
        </w:rPr>
        <w:t>, that, this clause (ii) shall not be violated with regard to expenses reimbursed under any arrangement covered by Internal Revenue Code Section 105(b) solely because such expenses are subject to a limit related to the period the arrangement is in effect and (iii) such payments shall be made on or before the last day of Executive’s taxable year following the taxable year in which the expense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For purposes of Code Section 409A, Executive’s right to receive any installment payments pursuant to this Agreement shall be treated as a right to receive a series of separate and distinct payments. Whenever a payment under this Agreement specifies a payment period with reference to a number of days (</w:t>
      </w:r>
      <w:r>
        <w:rPr>
          <w:rFonts w:ascii="Times New Roman" w:hAnsi="Times New Roman"/>
          <w:color w:val="000000"/>
          <w:sz w:val="24"/>
          <w:u w:val="single"/>
        </w:rPr>
        <w:t>e.g.</w:t>
      </w:r>
      <w:r>
        <w:rPr>
          <w:rFonts w:ascii="Times New Roman" w:hAnsi="Times New Roman"/>
          <w:color w:val="000000"/>
          <w:sz w:val="24"/>
        </w:rPr>
        <w:t>, “payment shall be made within thirty (30) days following the date of termination”), the actual date of payment within the specified period shall be within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Successors</w:t>
      </w:r>
      <w:r>
        <w:rPr>
          <w:rFonts w:ascii="Times New Roman" w:hAnsi="Times New Roman"/>
          <w:color w:val="000000"/>
          <w:sz w:val="24"/>
        </w:rPr>
        <w:t>. Any successor to the Company (whether direct or indirect and whether by purchase, lease, merger, consolidation, liquidation or otherwise) to all or substantially all of the Company's business and/or assets or otherwise pursuant to a Change of Control shall assume the Company's obligations under this Agreement and agree expressly in writing delivered to Executive, at or prior to such Change of Control, to perform the Company’s obligations under this Agreement in the same manner and to the same extent as the Company would be required to perform such obligations in the absence of a Change of Control. For all purposes under this Agreement, the term “Company” shall include any successor to the Company's business and/or assets (including any parent company to the Company), whether or not in connection with a Change of Control, which becomes bound by the terms of this Agreement by contract, operation of law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Notices and all other communications contemplated by this Agreement shall be in writing and shall be deemed to have been duly given (a) when personally delivered (if to the Company, addressed to its Secretary at the Company’s principal place of business on a non-holiday weekday between the hours of 9 a.m. and 5 p.m.; if to Executive, via personal service to Executive’s last known residence) or (b) three business days following the date it is mailed by U.S. registered or certified mail, return receipt requested and postage prepaid.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Confidential Information</w:t>
      </w:r>
      <w:r>
        <w:rPr>
          <w:rFonts w:ascii="Times New Roman" w:hAnsi="Times New Roman"/>
          <w:color w:val="000000"/>
          <w:sz w:val="24"/>
        </w:rPr>
        <w:t xml:space="preserve">. Executive recognizes and acknowledges that by reason of Executive’s employment by and service to the Company before, during and, if applicable, after the Term, Executive will have access to certain confidential and proprietary information relating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to the Company’s business, which may include, but is not limited to, trade secrets, trade “know-how,” product development techniques and plans, formulas, customer lists and addresses, financing services, funding programs, cost and pricing information, marketing and sales techniques, strategy and programs, computer programs and software and financial information (collectively referred to herein as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xml:space="preserve">). Executive acknowledges that such Confidential Information is a valuable and unique asset of the Company and Executive covenants that Executive will not, unless expressly authorized in writing by the Company, at any time during the course of Executive’s employment use any Confidential Information or divulge or disclose any Confidential Information to any person, firm or corporation except in connection with the performance of Executive’s duties for and on behalf of the Company and in a manner consistent with the Company’s policies regarding Confidential Information. Executive also covenants that at any time after the termination of such employment, directly or indirectly, Executive will not use any Confidential Information or divulge or disclose any Confidential Information to any person, firm or corporation, unless such information is in the public domain through no fault of Executive or except when required to do so by a court of law, by any governmental agency having supervisory authority over the business of the Company or by any administrative or legislative body (including a committee thereof) with apparent jurisdiction to order Executive to divulge, disclose or make accessible such information. All written Confidential Information (including, without limitation, in any computer or other electronic format) which comes into Executive’s possession during the course of Executive’s employment shall remain the property of the Company. Unless expressly authorized in writing by the Company, Executive shall not remove any written Confidential Information from the Company’s premises, except in connection with the performance of Executive’s duties for and on behalf of the Company and in a manner consistent with the Company’s policies regarding Confidential Information. Upon termination of Executive’s employment, the Executive agrees to immediately return to the Company all written Confidential Information (including, without limitation, in any computer or other electronic format) in Executive’s possession. As a condition of Executive’s employment with the Company and in order to protect the Company’s interest in such proprietary information, the Company shall require Executive’s execution of a Confidentiality Agreement and Inventions Agreement in the form attached hereto as </w:t>
      </w:r>
      <w:r>
        <w:rPr>
          <w:rFonts w:ascii="Times New Roman" w:hAnsi="Times New Roman"/>
          <w:color w:val="000000"/>
          <w:sz w:val="24"/>
          <w:u w:val="single"/>
        </w:rPr>
        <w:t>Exhibit B</w:t>
      </w:r>
      <w:r>
        <w:rPr>
          <w:rFonts w:ascii="Times New Roman" w:hAnsi="Times New Roman"/>
          <w:color w:val="000000"/>
          <w:sz w:val="24"/>
        </w:rPr>
        <w:t>, and incorporated herein by this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Intentionally omitted</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Employment Relationship.</w:t>
      </w:r>
      <w:r>
        <w:rPr>
          <w:color w:val="000000"/>
        </w:rPr>
        <w:t xml:space="preserve"> </w:t>
      </w:r>
      <w:r>
        <w:rPr>
          <w:rFonts w:ascii="Times New Roman" w:hAnsi="Times New Roman"/>
          <w:color w:val="000000"/>
          <w:sz w:val="24"/>
        </w:rPr>
        <w:t>Executive’s employment with the Company will remain at will, and this Agreement sets forth the complete agreement regarding that relationship, and any change to the at will nature of employment must be set forth in a written agreement approved by the 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Sections 1, 5, 6, 10, 11, 13, 14, 15 and 17 herein, including this Section 17(a), shall survive the termination of Executive’s employment with the Company, the expiration of this Agreement and the termination of this Agreement for any reason.</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Modifications; No Waiver</w:t>
      </w:r>
      <w:r>
        <w:rPr>
          <w:rFonts w:ascii="Times New Roman" w:hAnsi="Times New Roman"/>
          <w:color w:val="000000"/>
          <w:sz w:val="24"/>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supersedes, amends and restates all prior agreements and understandings between the parties, oral or written, including, without limitation, the Executive Agreement. No modification, termination or attempted waiver shall be valid unless in writing, signed by the party against whom such modification, termination or waiver is sought to be enforced.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Choice of Law</w:t>
      </w:r>
      <w:r>
        <w:rPr>
          <w:rFonts w:ascii="Times New Roman" w:hAnsi="Times New Roman"/>
          <w:color w:val="000000"/>
          <w:sz w:val="24"/>
        </w:rPr>
        <w:t>. The validity, interpretation, construction and performance of this Agreement shall be governed by the internal substantive laws, but not the conflicts of law rules, of the State of California.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or provisions of this Agreement shall not affect the validity or enforceability of any other provision hereof, which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and may be delivered by facsimile or other electronic means, but all of which shall be deemed originals and taken together will constitute one and the same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of the Articles and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Construction of Agreement</w:t>
      </w:r>
      <w:r>
        <w:rPr>
          <w:rFonts w:ascii="Times New Roman" w:hAnsi="Times New Roman"/>
          <w:color w:val="000000"/>
          <w:sz w:val="24"/>
        </w:rPr>
        <w:t>. In the event of a conflict between the text of the Agreement and any summary, description or other information regarding the Agreement, the text of the Agreement shall control.</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each of the parties has executed this Agreement, in the case of the Company by its duly authorized officer, as of the day and year first above written.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br/>
        <w:br/>
        <w:br/>
        <w:t>COMPANY: Cardiff Oncology, Inc.</w:t>
      </w:r>
    </w:p>
    <w:p>
      <w:pPr>
        <w:pStyle w:val="TextBody"/>
        <w:bidi w:val="0"/>
        <w:spacing w:before="0" w:after="240"/>
        <w:jc w:val="left"/>
        <w:rPr>
          <w:rFonts w:ascii="Times New Roman" w:hAnsi="Times New Roman"/>
          <w:sz w:val="20"/>
        </w:rPr>
      </w:pPr>
      <w:r>
        <w:rPr>
          <w:rFonts w:ascii="Times New Roman" w:hAnsi="Times New Roman"/>
          <w:color w:val="000000"/>
          <w:sz w:val="24"/>
        </w:rPr>
        <w:t>By: _</w:t>
      </w:r>
      <w:r>
        <w:rPr>
          <w:rFonts w:ascii="Times New Roman" w:hAnsi="Times New Roman"/>
          <w:color w:val="000000"/>
          <w:sz w:val="24"/>
          <w:u w:val="single"/>
        </w:rPr>
        <w:t>/s/ Rodney Markin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Dr. Rodney Markin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Chairman of the Board</w:t>
      </w:r>
    </w:p>
    <w:p>
      <w:pPr>
        <w:pStyle w:val="TextBody"/>
        <w:bidi w:val="0"/>
        <w:spacing w:before="0" w:after="240"/>
        <w:jc w:val="left"/>
        <w:rPr>
          <w:rFonts w:ascii="Times New Roman" w:hAnsi="Times New Roman"/>
          <w:sz w:val="20"/>
        </w:rPr>
      </w:pPr>
      <w:r>
        <w:rPr>
          <w:rFonts w:ascii="Times New Roman" w:hAnsi="Times New Roman"/>
          <w:color w:val="000000"/>
          <w:sz w:val="24"/>
        </w:rPr>
        <w:br/>
        <w:br/>
        <w:br/>
        <w:t xml:space="preserve">EXECUTIVE: </w:t>
      </w:r>
      <w:r>
        <w:rPr>
          <w:rFonts w:ascii="Times New Roman" w:hAnsi="Times New Roman"/>
          <w:color w:val="000000"/>
          <w:sz w:val="24"/>
          <w:u w:val="single"/>
        </w:rPr>
        <w:t>/s/ Mani Mohindru</w:t>
      </w:r>
      <w:r>
        <w:rPr>
          <w:rFonts w:ascii="Times New Roman" w:hAnsi="Times New Roman"/>
          <w:color w:val="000000"/>
          <w:sz w:val="24"/>
        </w:rPr>
        <w:br/>
        <w:t>[Name]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Exhibit A</w:t>
        <w:br/>
        <w:br/>
      </w:r>
      <w:r>
        <w:rPr>
          <w:rFonts w:ascii="Times New Roman" w:hAnsi="Times New Roman"/>
          <w:b/>
          <w:color w:val="000000"/>
          <w:sz w:val="24"/>
        </w:rPr>
        <w:t>Form of Release Agreement</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SEPARATION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Separation Agreement (“Agreement”) is made by and between Cardiff Oncology, Inc. (the “Company”) and Mani Mohindru, Ph.D. (“Employee”) (each a “Party” and collectively the “Parties”). In consideration for the execution of this Agreement, and the performance of the terms and conditions set forth herein,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Separation Date</w:t>
      </w:r>
      <w:r>
        <w:rPr>
          <w:rFonts w:ascii="Times New Roman" w:hAnsi="Times New Roman"/>
          <w:color w:val="000000"/>
          <w:sz w:val="24"/>
        </w:rPr>
        <w:t>. Employee’s employment with the Company terminated effective [DATE]. By signing below, Employee acknowledges and agrees Employee has received all wages owed, including accrued and unused vacation; has been reimbursed for all business expenses incurred in accordance with the Company’s expense reimbursement policy; and has received all other payments owed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Consideration</w:t>
      </w:r>
      <w:r>
        <w:rPr>
          <w:rFonts w:ascii="Times New Roman" w:hAnsi="Times New Roman"/>
          <w:color w:val="000000"/>
          <w:sz w:val="24"/>
        </w:rPr>
        <w:t>. In consideration for the execution of this Agreement, and the performance of the terms and conditions set forth herein as well as receipt by the Company of the Employee’s resignation from the Company’s Board of Directors, the Parties hereby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Cash Payments</w:t>
      </w:r>
      <w:r>
        <w:rPr>
          <w:rFonts w:ascii="Times New Roman" w:hAnsi="Times New Roman"/>
          <w:color w:val="000000"/>
          <w:sz w:val="24"/>
        </w:rPr>
        <w:t xml:space="preserve">. </w:t>
      </w:r>
      <w:r>
        <w:rPr>
          <w:rFonts w:ascii="Times New Roman" w:hAnsi="Times New Roman"/>
          <w:color w:val="000000"/>
          <w:sz w:val="23"/>
        </w:rPr>
        <w:t>The</w:t>
      </w:r>
      <w:r>
        <w:rPr>
          <w:color w:val="000000"/>
        </w:rPr>
        <w:t xml:space="preserve"> </w:t>
      </w:r>
      <w:r>
        <w:rPr>
          <w:rFonts w:ascii="Times New Roman" w:hAnsi="Times New Roman"/>
          <w:color w:val="000000"/>
          <w:sz w:val="24"/>
        </w:rPr>
        <w:t xml:space="preserve">Company shall continue to pay </w:t>
      </w:r>
      <w:r>
        <w:rPr>
          <w:rFonts w:ascii="Times New Roman" w:hAnsi="Times New Roman"/>
          <w:color w:val="000000"/>
          <w:sz w:val="23"/>
        </w:rPr>
        <w:t>Employee’s Base Compensation for twelve (12) months from the Separation Date. These payments will be made on the Company’s regular payroll dates.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Prorated Bonus</w:t>
      </w:r>
      <w:r>
        <w:rPr>
          <w:rFonts w:ascii="Times New Roman" w:hAnsi="Times New Roman"/>
          <w:color w:val="000000"/>
          <w:sz w:val="24"/>
        </w:rPr>
        <w:t xml:space="preserve">. The Company shall pay Employee a prorated portion of the Target Bonus (or Bonus based on actual performance as determined in good faith by the Board or the Compensation Committee ) the Executive would have earned for the calendar year in which Executive’s Separation Date occurred, with such proration based on the number of days Employee was employed by the Company during such Target Year divided by 365. This payment may be made when the Bonus is paid out to other employees (“Bonus Payout Date”)). </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Medical Insurance</w:t>
      </w:r>
      <w:r>
        <w:rPr>
          <w:rFonts w:ascii="Times New Roman" w:hAnsi="Times New Roman"/>
          <w:color w:val="000000"/>
          <w:sz w:val="24"/>
        </w:rPr>
        <w:t>. The Company will reimburse Employee the same amount that he was receiving as his normal company co-pay for up to 12 months, provided that he maintains coverage either though COBRA or through an alternative source. This reimbursement will be provided within two weeks of each submission by Employee of proof of payment for medical insurance premiums. This payment will terminate if Employee obtains other employment through which he can obtain medical insurance, whether or not he elects to do so.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Good and Valuable Consideration.</w:t>
      </w:r>
      <w:r>
        <w:rPr>
          <w:color w:val="000000"/>
        </w:rPr>
        <w:t xml:space="preserve"> </w:t>
      </w:r>
      <w:r>
        <w:rPr>
          <w:rFonts w:ascii="Times New Roman" w:hAnsi="Times New Roman"/>
          <w:color w:val="000000"/>
          <w:sz w:val="24"/>
        </w:rPr>
        <w:t xml:space="preserve">The Parties expressly agree that the consideration set forth in Section 2 of this Agreement constitutes good and valuable consideration in addition to anything to which Employee is already entitled, and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has no independent legal duty to provide Employee with the consideration set forth in this Agreement, absent the terms of the Agreement itself. Employee understands and agrees that Employee will not receive the consideration specified herein, without Employee’s execution of this Agreement and the fulfillment of the promises contained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Equity Awards</w:t>
      </w:r>
      <w:r>
        <w:rPr>
          <w:rFonts w:ascii="Times New Roman" w:hAnsi="Times New Roman"/>
          <w:color w:val="000000"/>
          <w:sz w:val="24"/>
        </w:rPr>
        <w:t>. Nothing herein will alter the terms and conditions of Employee’s Equity Award, as set forth in Employee’s Employment Agreement and/or Employee’s Award Agreement, EXCEPT in the event that Employee’s separation was a Termination in the Context of a Change of Control as defined in Employee’s Offer Letter, notwithstanding any provision of any stock incentive plan, stock option agreement, restricted stock agreement or other agreement relating to capital stock of the Company, all of the shares and equity awards held by Employee that are then unvested shall immediately vest and, with respect to all options, warrants and other convertible securities of the Company beneficially held by Employee, become fully exercisable for (A) a period of six months following the date of termination only if at the time of such termination there is a Change of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General Release of Claims</w:t>
      </w:r>
      <w:r>
        <w:rPr>
          <w:rFonts w:ascii="Times New Roman" w:hAnsi="Times New Roman"/>
          <w:color w:val="000000"/>
          <w:sz w:val="24"/>
        </w:rPr>
        <w:t>. Except as to such rights or claims as may be created by this Agreement, Employee, and anyone and any entity claiming through Employee, including but not limited to Employee’s heirs, administrators, successors in interest, assigns and agents, hereby release and forever discharge the Company and all of its past, present and future employees, officers, directors, members, agents, trustees, administrators, representatives, owners, shareholders, partners, insurers, fiduciaries, attorneys, subsidiaries, parent companies, affiliates, related entities, assigns, predecessors and successors in interest, and each and all of them, jointly and severally (collectively the “Released Parties”), from any and all liabilities, claims, causes of action, charges, complaints, obligations, costs, losses, damages, injuries, penalties, interest, attorneys’ fees, and other legal responsibilities, of any form whatsoever, whether known or unknown, unforeseen, unanticipated, unsuspected or latent, which Employee has at any time owned or held prior to Employee’s execution of this Agreement, including but not limited to, any and all claims arising out of, connected with, or relating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Employee’s employment and/or the end of Employee’s employment with the Released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act or omission by the Released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Title VII of the Civil Rights Act of 1964,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Civil Rights Act of 1991,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Sections 1981 through 1988 of Title 42 of the United States Code,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Age Discrimination in Employment Act of 1967,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Employee Retirement Income Security Act of 1974,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Immigration Reform and Control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Americans with Disabilities Act of 1990,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Fair Labor Standards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Workers Adjustment and Retraining Notification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Occupational Safety and Health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California Fair Employment and Housing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California Labor Code, as amended;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The California Private Attorney General Act,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California Equal Pay Law,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IWC Wage Orders,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other federal, state or local law, regulation or municipal ordinance, including those regulating compensation and those prohibiting discrimination, harassment, or retaliation of any kind;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Any claim based on violation of public policy, breach of contract, tort, fraud, misrepresentation, defamation, or any other common law claim;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claim for damages of any kind, including but not limited to compensatory damages, emotional distress damages, liquidated damages, punitive damages, or penalties;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claim for costs, fees, interest, or other expenses, including attorneys’ fees.</w:t>
      </w:r>
    </w:p>
    <w:p>
      <w:pPr>
        <w:pStyle w:val="TextBody"/>
        <w:bidi w:val="0"/>
        <w:spacing w:before="0" w:after="240"/>
        <w:jc w:val="left"/>
        <w:rPr>
          <w:rFonts w:ascii="Times New Roman" w:hAnsi="Times New Roman"/>
          <w:sz w:val="20"/>
        </w:rPr>
      </w:pPr>
      <w:r>
        <w:rPr>
          <w:rFonts w:ascii="Times New Roman" w:hAnsi="Times New Roman"/>
          <w:color w:val="000000"/>
          <w:sz w:val="24"/>
        </w:rPr>
        <w:t>The foregoing general release does not apply to any of Employee’s claims that cannot be released as a matter of law and does not limit any rights Employee may have under the National Labor Relations Act. The Parties agree and acknowledge that the release and waiver set forth above shall not prevent Employee from participating in or cooperating with any state or federal agency’s investigation or charge of discrimination, including the Equal Employment Opportunity Commission (“EEOC”). The Parties further agree and acknowledge that nothing in the Agreement prevents or prohibits Employee from filing a charge of discrimination with a state or federal agency, including the EEOC. However, Employee understands and agrees that Employee is giving up the opportunity to recover any compensation, damages, or any other form of relief in any proceeding brought by Employee or on Employee’s behalf.</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Older Worker's Benefit Protection Act</w:t>
      </w:r>
      <w:r>
        <w:rPr>
          <w:rFonts w:ascii="Times New Roman" w:hAnsi="Times New Roman"/>
          <w:color w:val="000000"/>
          <w:sz w:val="24"/>
        </w:rPr>
        <w:t xml:space="preserve">. This Agreement constitutes a knowing and voluntary waiver of any and all rights or claims that Employee has or may have under the Federal Age Discrimination in Employment Act, as amended by the Older Workers' Benefit Protection Act of 1990, 29 U.S.C. §§ 621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This paragraph and this Agreement are written in a manner calculated to be understood by Employee. Employee is hereby advised in writing:</w:t>
      </w:r>
    </w:p>
    <w:p>
      <w:pPr>
        <w:pStyle w:val="TextBody"/>
        <w:bidi w:val="0"/>
        <w:spacing w:before="0" w:after="240"/>
        <w:jc w:val="both"/>
        <w:rPr>
          <w:rFonts w:ascii="Times New Roman" w:hAnsi="Times New Roman"/>
          <w:sz w:val="20"/>
        </w:rPr>
      </w:pPr>
      <w:r>
        <w:rPr>
          <w:rFonts w:ascii="Times New Roman" w:hAnsi="Times New Roman"/>
          <w:color w:val="000000"/>
          <w:sz w:val="24"/>
          <w:u w:val="single"/>
        </w:rPr>
        <w:t>(1)</w:t>
      </w:r>
      <w:r>
        <w:rPr>
          <w:rFonts w:ascii="Times New Roman" w:hAnsi="Times New Roman"/>
          <w:color w:val="000000"/>
          <w:sz w:val="20"/>
        </w:rPr>
        <w:t xml:space="preserve"> </w:t>
      </w:r>
      <w:r>
        <w:rPr>
          <w:rFonts w:ascii="Times New Roman" w:hAnsi="Times New Roman"/>
          <w:color w:val="000000"/>
          <w:sz w:val="24"/>
        </w:rPr>
        <w:t xml:space="preserve">To consult with an attorney before signing this Agreement. </w:t>
        <w:br/>
        <w:br/>
        <w:t xml:space="preserve">(2) Employee has up to 21 days to consider whether to sign this Agreement. If Employee decides not to use all 21 days, Employee knowingly and voluntarily waives any claims that Employee was not given the 21-day period or did not use the entire 21 days to consider this Agreement. </w:t>
        <w:br/>
        <w:br/>
        <w:t>(3) Employee may revoke this Agreement at any time within the 7-day period following the date Employee signs this Agreement by providing written notice of revocation to the Company by email to</w:t>
      </w:r>
      <w:r>
        <w:rPr>
          <w:rFonts w:ascii="Times New Roman" w:hAnsi="Times New Roman"/>
          <w:color w:val="000000"/>
          <w:sz w:val="20"/>
        </w:rPr>
        <w:t xml:space="preserve"> </w:t>
      </w:r>
      <w:r>
        <w:rPr>
          <w:rFonts w:ascii="Times New Roman" w:hAnsi="Times New Roman"/>
          <w:color w:val="000000"/>
          <w:sz w:val="24"/>
        </w:rPr>
        <w:t>the Chair of the Board of Directors [email address] so that said revocation notice is received before the expiration of the 7-day revocation period (the “Revocation Period”). If Employee revokes the Agreement within the Revocation Period, Employee will not receive the consideration set forth in the Agreement.</w:t>
      </w:r>
    </w:p>
    <w:p>
      <w:pPr>
        <w:pStyle w:val="TextBody"/>
        <w:bidi w:val="0"/>
        <w:jc w:val="left"/>
        <w:rPr>
          <w:rFonts w:ascii="Times New Roman" w:hAnsi="Times New Roman"/>
          <w:sz w:val="20"/>
        </w:rPr>
      </w:pPr>
      <w:r>
        <w:rPr>
          <w:rFonts w:ascii="Times New Roman" w:hAnsi="Times New Roman"/>
          <w:color w:val="000000"/>
          <w:sz w:val="24"/>
        </w:rPr>
        <w:t>Release of Unknown Claims. Employee has reviewed and hereby expressly waives the provisions of Section 1542 of the California Civil Code, which provides as follows:</w:t>
        <w:br/>
        <w:br/>
        <w:t>A GENERAL RELEASE DOES NOT EXTEND TO CLAIMS THAT THE CREDITOR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OR RELEASING PARTY DOES NOT KNOW OR SUSPECT TO EXIST IN HIS OR HER FAVOR AT THE TIME OF EXECUTING THE RELEASE AND THAT, IF KNOWN BY HIM OR HER, WOULD HAVE MATERIALLY AFFECTED HIS OR HER SETTLEMENT WITH THE DEBTOR OR RELEASED PARTY. </w:t>
        <w:br/>
        <w:br/>
        <w:t>This Agreement extends to all claims or causes of action, of every nature and kind whatsoever, known or unknown, suspected or unsuspected, enumerated in this Agreement or otherwise. Employee may hereafter discover presently unknown facts or claims different from or in addition to those that Employee now knows as to the matters released herein. Nevertheless, it is Employee’s intention, through this Agreement, to fully release all such matters and all claims related thereto, which do now exist, may exist or heretofore have existed.</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Covenant Not to Sue</w:t>
      </w:r>
      <w:r>
        <w:rPr>
          <w:rFonts w:ascii="Times New Roman" w:hAnsi="Times New Roman"/>
          <w:color w:val="000000"/>
          <w:sz w:val="24"/>
        </w:rPr>
        <w:t>. Employee has not, and will not, directly or indirectly institute any legal action against the Released Parties based upon, arising out of, or relating to any claims released in this Agreement, to the extent allowed by law. Employee has not, and will not, directly or indirectly encourage and/or solicit any third party to institute any legal action against the Company or Released Parties, to the extent allowed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Inquiries</w:t>
      </w:r>
      <w:r>
        <w:rPr>
          <w:rFonts w:ascii="Times New Roman" w:hAnsi="Times New Roman"/>
          <w:color w:val="000000"/>
          <w:sz w:val="24"/>
        </w:rPr>
        <w:t xml:space="preserve">. The Company will respond to any inquiries about Employee’s employment by providing only Employee’s dates of employment and job titles. Employee will direct all such inquiries only to [name and email of HR]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No Workplace Injuries</w:t>
      </w:r>
      <w:r>
        <w:rPr>
          <w:rFonts w:ascii="Times New Roman" w:hAnsi="Times New Roman"/>
          <w:color w:val="000000"/>
          <w:sz w:val="24"/>
        </w:rPr>
        <w:t>. Employee has not sustained any workplace injury of any kind during Employee’s employment with the Company, and Employee does not intend to file any claim for or seek any workers’ compensation benefits.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Non-Disclosure of Confidential, Trade Secret, or Proprietary Information</w:t>
      </w:r>
      <w:r>
        <w:rPr>
          <w:rFonts w:ascii="Times New Roman" w:hAnsi="Times New Roman"/>
          <w:color w:val="000000"/>
          <w:sz w:val="24"/>
        </w:rPr>
        <w:t xml:space="preserve">. Employee agrees that Employee will continue to be bound by the Confidentiality and Non-Disclosure Agreement executed by Employee on [DATE] to the extent it is enforceable under current law, and will not use any Trade Secrets, Confidential Information, or Proprietary Information in order to compete with the Company and/or its affiliates or for any other purpose. Employee will not, for any reason, disclose to others or use for the benefit of anyone other than the Company any trade secret, confidential or proprietary information of the Company, including, but not limited to information relating to the Company’s customers, employees, consultants, affiliates, partners, products, services, know-how, techniques, computer systems, programs, policies and procedures, research, projects, future developments, costs, profits, pricing, customer and client information. The use of any trade secret, confidential or proprietary information belonging to the Company shall be a material breach of this Agreement. Employee acknowledges and agrees that Employee’s obligations provided herein are necessary and reasonable in order to protect the Company and its affiliates and their respective business and Employee expressly agrees that monetary damages would be inadequate to compensate the Company and/or its affiliates for any breach by Employee of Employee’s covenants and agreements set forth herein. Accordingly, Employee agrees and acknowledges that any such violation of this Section 9 will cause irreparable injury to the Company and that, in addition to any other remedies that may be available, in law, in equity or otherwise, the Company and its affiliates shall be entitled to seek injunctive relief against the breach of this Section 9 or the continuation of any such breach by the Employee without the necessity of proving actual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damages. In the event Employee directly or indirectly breaches (or causes others to breach) the confidentiality provisions of this Section 9, the Parties stipulate and agree that that damages for the breach of such obligation would be, and are, difficult and impractical to ascertain. The Parties further acknowledge and agree that there is a benefit to each Party in fixing a limitation on damages based on good-faith estimates of the damages expected in the event of a breach of the confidentiality provisions of this Section 9. Accordingly, Employee agrees to pay Company the sum of ten thousand ($10,000) for each incident of breach, representing a sum that the Parties agree is reasonable in light of the circumstances existing at the time of this Agreement. Any claimed breach of the obligations of this Section 9 shall be proved by a preponderance of the evidence, and the prevailing party in any action brought for violation of this Section 9 shall be entitled to recover its reasonable attorney’s fees and costs as determined by a Court of competent jurisdiction. The Parties acknowledge and agree that this provision for liquidated damages does not constitute a penalty or forfeiture within the meaning of Civil Code sections 3275 or 3369 or any other provision of California law. Neither the breach of this Section 9 nor the payment of liquidated damages by Employee shall affect the continuing validity or enforceability of this Agreement.</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Defend Trade Secrets Act</w:t>
      </w:r>
      <w:r>
        <w:rPr>
          <w:rFonts w:ascii="Times New Roman" w:hAnsi="Times New Roman"/>
          <w:color w:val="000000"/>
          <w:sz w:val="24"/>
        </w:rPr>
        <w:t>. Notwithstanding anything contained herein or in any other confidentiality provision to which Employee may be or may have been subject as a result of Employee’s employment with the Company, nothing shall prohibit Employee from communicating with government authorities concerning any possible legal violations. The Company nonetheless asserts and does not waive its attorney-client privilege over any information appropriately protected by the privilege. Employee is advised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However, Employee understands that in the event that disclosure of the Company’s trade secrets was not done in good faith pursuant to the above, Employee will be subject to substantial damages, including punitive damages and attorneys’ fees. Employee acknowledges that these obligations are supplemental to, and do not replace or alter, his existing obligations pursuant to the Offer of Employment executed by Employee on [DATE], the Employee Confidentiality and Non-Disclosure Agreement executed by Employee on [DATE], or any other similar documents.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Cooperation after Separation</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During the 12-month severance period, Employee will be expected to provide such assistance to the Company and its counsel as they may request in regard to any matters of which Employee has particular knowledge as a result of Employee’s employment with the Company. Such assistance shall include, but is not limited to, answering any inquiries the Company may have or receive regarding the execution of Employee’s past duties at the Company, acting as a resource person in matters relevant to Employee’s knowledge and experience with the Company, providing information and answers in response to interrogatories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or other discovery, giving sworn statements and testifying in arbitrations, depositions and/or trials, and committing to be available, upon reasonable notice, to meet with the Company and its attorneys to adequately prepare for any and all proceedings associated with pending or threatened litigation or arbitration involving the Company. Employee shall not be obligated to provide assistance that would unreasonably and materially interfere with Employee’s business or personal activities.</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that travel or other expenses are incurred by Employee in connection with such assistance or in the event Employee’s deposition is required, the reasonable travel costs and out-of-pocket expenses in connection therewith shall be reimbursed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Return of Company Property and Materials</w:t>
      </w:r>
      <w:r>
        <w:rPr>
          <w:rFonts w:ascii="Times New Roman" w:hAnsi="Times New Roman"/>
          <w:color w:val="000000"/>
          <w:sz w:val="24"/>
        </w:rPr>
        <w:t>. Employee acknowledges that Employee has returned to the Company all the Company’s records, documents, electronically stored information, and tangible embodiments of such, in Employee’s possession, including but not limited to the Company’s trade secrets, confidential information and proprietary information. Employee confirms that Employee has returned to the Company all property of the Company, including but not limited to automobiles, keys, key cards, cellular phones, credit cards, personal and laptop computers, and any other electronic equipment.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Non-Disparagement</w:t>
      </w:r>
      <w:r>
        <w:rPr>
          <w:rFonts w:ascii="Times New Roman" w:hAnsi="Times New Roman"/>
          <w:color w:val="000000"/>
          <w:sz w:val="24"/>
        </w:rPr>
        <w:t xml:space="preserve">. Employee shall not make any defamatory remarks about the Company or its current or former employees, verbally or in writing, including without limitation posting on social media applications such as YouTube, Facebook, X (f.k.a. Twitter), LinkedIn, blogs, or other public fora, or otherwise take any action that could reasonably be anticipated to cause damage to the reputation, goodwill, or business of the Company. </w:t>
      </w:r>
      <w:r>
        <w:rPr>
          <w:rFonts w:ascii="Times New Roman" w:hAnsi="Times New Roman"/>
          <w:color w:val="424449"/>
          <w:sz w:val="24"/>
        </w:rPr>
        <w:t xml:space="preserve">Nothing in this provision or this Agreement (i) </w:t>
      </w:r>
      <w:r>
        <w:rPr>
          <w:rFonts w:ascii="Times New Roman" w:hAnsi="Times New Roman"/>
          <w:color w:val="000000"/>
          <w:sz w:val="24"/>
        </w:rPr>
        <w:t xml:space="preserve">shall prevent Employee from discussing or disclosing information about unlawful acts in the workplace, such as harassment or discrimination or any other conduct that Employee has reason to believe is unlawful; or (ii) </w:t>
      </w:r>
      <w:r>
        <w:rPr>
          <w:rFonts w:ascii="Times New Roman" w:hAnsi="Times New Roman"/>
          <w:color w:val="424449"/>
          <w:sz w:val="24"/>
        </w:rPr>
        <w:t xml:space="preserve">shall </w:t>
      </w:r>
      <w:r>
        <w:rPr>
          <w:rFonts w:ascii="Times New Roman" w:hAnsi="Times New Roman"/>
          <w:color w:val="000000"/>
          <w:sz w:val="24"/>
        </w:rPr>
        <w:t xml:space="preserve">prevent the disclosure of factual information that is related to a claim filed in a civil action or a complaint filed in an administrative action concerning alleged criminal conduct or alleged sexual harassment on the part of Company or any other Company Entity, or regarding any sexual assault, sexual abuse, sexual harassment, workplace harassment or discrimination; a failure to prevent an act workplace harassment or discrimination; or retaliation against a person for reporting workplace harassment or discrimination, when Employee has been required or requested to attend the proceeding pursuant to a court order, subpoena, or written request from an administrative agency or the legislature.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Non-Participation in Class, Representative, or PAGA Actions</w:t>
      </w:r>
      <w:r>
        <w:rPr>
          <w:rFonts w:ascii="Times New Roman" w:hAnsi="Times New Roman"/>
          <w:color w:val="000000"/>
          <w:sz w:val="24"/>
        </w:rPr>
        <w:t>. Employee agrees not to bring or participate in any class, representative, PAGA or other similar action against Company, and agrees that Employee will opt out of any such action to the extent permitted by law, and that the production of this agreement will be sufficient grounds to exclude Employee from any such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Non-Disclosure</w:t>
      </w:r>
      <w:r>
        <w:rPr>
          <w:rFonts w:ascii="Times New Roman" w:hAnsi="Times New Roman"/>
          <w:color w:val="000000"/>
          <w:sz w:val="24"/>
        </w:rPr>
        <w:t xml:space="preserve">. Employee agrees not to disclose the terms of this Agreement, or the fact of its existence or execution, to anyone other than Employee’s immediate family members, attorneys, financial advisors, or accountants (provided that Employee obtains such person’s written agreement not to disclose the fact or terms of this Agreement and that a breach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by such person shall be considered a breach by Employee), governmental taxing authorities, or pursuant to a subpoena or order of a court of competent jurisdiction, or to the SEC, OSHA, EEOC, CRD, NLRB, or similar agency, to the extent such disclosures are required by law.</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Tax Obligations and Indemnification</w:t>
      </w:r>
      <w:r>
        <w:rPr>
          <w:rFonts w:ascii="Times New Roman" w:hAnsi="Times New Roman"/>
          <w:color w:val="000000"/>
          <w:sz w:val="24"/>
        </w:rPr>
        <w:t>. Employee understands, acknowledges, and agrees that Employee is solely responsible for all tax obligations attributable to Employee, including all reporting and payment obligations that may arise as a consequence of this. Neither Company nor any of the Released Parties make any warranty concerning the treatment under federal or state tax laws for any funds paid pursuant to this Agreement, and Employee expressly acknowledges and agrees that neither Company nor any of the Released Parties has made any promise, representation, or warranty, express or implied, regarding the tax consequences of any sum paid to Employee pursuant to this Agreement. Employee agrees to indemnify and hold harmless Company, Released Parties, and any person or entity affiliated with Company, from any tax liability or penalties attributable to Employee that may arise from this Agreement. Employee further acknowledges and agrees that Company does not, and shall not, have any obligation to indemnify or defend Employee in any tax proceedings or from any tax consequences that could result from any payments made in accordance with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CIRCULAR 230 DISCLAIMER</w:t>
      </w:r>
      <w:r>
        <w:rPr>
          <w:rFonts w:ascii="Times New Roman" w:hAnsi="Times New Roman"/>
          <w:color w:val="000000"/>
          <w:sz w:val="24"/>
        </w:rPr>
        <w:t>. EMPLOYEE (FOR PURPOSES OF THIS SECTION, THE "ACKNOWLEDGING PARTY"; AND EACH PARTY TO THIS AGREEMENT OTHER THAN THE ACKNOWLEDGING PARTY, AN "OTHER PARTY") ACKNOWLEDGE AND AGREE: (1) NO PROVISION OF THIS AGREEMENT, AND NO WRITTEN COMMUNICATION OR DISCLOSURE BETWEEN OR AMONG THE PARTIES OR THEIR ATTORNEYS AND OTHER ADVISERS, IS OR WAS INTENDED TO BE, NOR SHALL ANY SUCH COMMUNICATION OR DISCLOSURE CONSTITUTE OR BE CONSTRUED OR BE RELIED UPON AS, TAX ADVICE WITHIN THE MEANING OF UNITED STATES TREASURY DEPARTMENT CIRCULAR 230 (31 CFR PART 10, AS AMENDED); (2) THE ACKNOWLEDGING PARTY (A) HAS RELIED EXCLUSIVELY UPON HIS, HER OR ITS OWN INDEPENDENT LEGAL AND TAX ADVISERS FOR ADVICE (INCLUDING TAX ADVICE) IN CONNECTION WITH THIS AGREEMENT, (B) HAS NOT ENTERED INTO THIS AGREEMENT BASED UPON THE RECOMMENDATION OF ANY OTHER PARTY OR ANY ATTORNEY OR ADVISOR TO ANY OTHER PARTY, AND (C) IS NOT ENTITLED TO RELY UPON ANY COMMUNICATION OR DISCLOSURE BY ANY ATTORNEY OR ADVISER TO ANY OTHER PARTY TO AVOID ANY TAX PENALTY THAT MAY BE IMPOSED ON THE ACKNOWLEDGING PARTY; AND (3) NO ATTORNEY OR ADVISER TO ANY OTHER PARTY HAS IMPOSED ANY LIMITATION THAT PROTECTS THE CONFIDENTIALITY OF ANY SUCH ATTORNEY'S OR ADVISER'S TAX STRATEGIES (REGARDLESS OF WHETHER SUCH LIMITATION IS LEGALLY BINDING) UPON DISCLOSURE BY THE ACKNOWLEDGING PARTY OF THE TAX TREATMENT OR TAX STRUCTURE OF ANY TRANSACTION, INCLUDING ANY TRANSACTION CONTEMPLATED BY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Arbitration</w:t>
      </w:r>
      <w:r>
        <w:rPr>
          <w:rFonts w:ascii="Times New Roman" w:hAnsi="Times New Roman"/>
          <w:color w:val="000000"/>
          <w:sz w:val="24"/>
        </w:rPr>
        <w:t xml:space="preserve">. Except for claims for emergency equitable or injunctive relief which cannot be timely addressed through arbitration, the Parties agree to submit any claim or dispute arising out of the terms of this Agreement to private and confidential arbitration by a single neutral arbitrator through Judicial Arbitration and Mediation Services, Inc. ("JAMS").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JAMS Streamlined Arbitration Rules &amp; Procedures in effect at the time of the claim or dispute is arbitrated will govern the procedure for the arbitration proceedings between the Parties. The arbitration shall take place in San Diego County, California. The arbitrator in this matter shall not have the power to modify any of the provisions of this Agreement. The decision of the arbitrator shall be final and binding on all Parties to this Agreement, and judgment thereon may be entered in any court having jurisdiction. The Party initiating the arbitration shall advance the arbitrator's fee and all costs of services provided by the arbitrator and arbitration organization. However, all the costs of the arbitration proceeding or litigation to enforce this Agreement, including attorneys' fees and costs, shall be paid as the arbitrator or court awards in accordance with applicable law. The Parties hereby waive any right to a jury trial on any dispute or claim covered by this Agreement, to the fullest extent permitted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Employee Representations and Acknowledgments</w:t>
      </w:r>
      <w:r>
        <w:rPr>
          <w:rFonts w:ascii="Times New Roman" w:hAnsi="Times New Roman"/>
          <w:color w:val="000000"/>
          <w:sz w:val="24"/>
        </w:rPr>
        <w:t xml:space="preserve">. Employee hereby represents and warrants to the Company that Employee (a) has read this Agreement in its entirety, (b) has all requisite power and authority to execute and deliver this Agreement and to perform his or her obligations hereunder, (c) fully understands the contents of this Agreement, (d) freely, voluntarily and without coercion enters into this Agreement, and (e) is signing it with full knowledge that it is intended, to the maximum extent permitted by law, as a complete release and waiver of any and all claims.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rFonts w:ascii="Times New Roman" w:hAnsi="Times New Roman"/>
          <w:color w:val="000000"/>
          <w:sz w:val="24"/>
          <w:u w:val="single"/>
        </w:rPr>
        <w:t>Severability.</w:t>
      </w:r>
      <w:r>
        <w:rPr>
          <w:color w:val="000000"/>
        </w:rPr>
        <w:t xml:space="preserve"> </w:t>
      </w:r>
      <w:r>
        <w:rPr>
          <w:rFonts w:ascii="Times New Roman" w:hAnsi="Times New Roman"/>
          <w:color w:val="000000"/>
          <w:sz w:val="24"/>
        </w:rPr>
        <w:t>In the event any provision of this Agreement is held to be void, null or unenforceable, the remaining portions shall remain in full force and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pPr>
      <w:r>
        <w:rPr>
          <w:rFonts w:ascii="Times New Roman" w:hAnsi="Times New Roman"/>
          <w:color w:val="000000"/>
          <w:sz w:val="24"/>
          <w:u w:val="single"/>
        </w:rPr>
        <w:t>No Admission of Wrongdoing</w:t>
      </w:r>
      <w:r>
        <w:rPr>
          <w:rFonts w:ascii="Times New Roman" w:hAnsi="Times New Roman"/>
          <w:color w:val="000000"/>
          <w:sz w:val="24"/>
        </w:rPr>
        <w:t>. Neither this Agreement nor the furnishing of the consideration for this Agreement shall be deemed or construed as an admission of liability or wrongdoing on the part of the Released Parties, nor shall they be admissible as evidence in any proceeding other than for the enforcement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Modification</w:t>
      </w:r>
      <w:r>
        <w:rPr>
          <w:rFonts w:ascii="Times New Roman" w:hAnsi="Times New Roman"/>
          <w:color w:val="000000"/>
          <w:sz w:val="24"/>
        </w:rPr>
        <w:t>. This Agreement cannot be modified in any respect except in a written instrument signed by both Parties.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Entire Agreement</w:t>
      </w:r>
      <w:r>
        <w:rPr>
          <w:rFonts w:ascii="Times New Roman" w:hAnsi="Times New Roman"/>
          <w:color w:val="000000"/>
          <w:sz w:val="24"/>
        </w:rPr>
        <w:t xml:space="preserve">. This Agreement sets forth the entire agreement between the Parties hereto, and fully supersedes any prior agreements or understandings between the Parties, except for any confidentiality agreements and/or the restrictive covenants between the Parties, which shall remain in full force and effect to the greatest extent permitted by law.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No Reliance</w:t>
      </w:r>
      <w:r>
        <w:rPr>
          <w:rFonts w:ascii="Times New Roman" w:hAnsi="Times New Roman"/>
          <w:color w:val="000000"/>
          <w:sz w:val="24"/>
        </w:rPr>
        <w:t>. Employee has not relied on any representations, promises, or agreements of any kind made to Employee in connection with Employee’s decision to accept this Agreement, except for those set forth in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Interpretation</w:t>
      </w:r>
      <w:r>
        <w:rPr>
          <w:rFonts w:ascii="Times New Roman" w:hAnsi="Times New Roman"/>
          <w:color w:val="000000"/>
          <w:sz w:val="24"/>
        </w:rPr>
        <w:t>. Any uncertainty or ambiguity in the Agreement shall not be construed for or against any Party based on the attribution of drafting to any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Headings</w:t>
      </w:r>
      <w:r>
        <w:rPr>
          <w:rFonts w:ascii="Times New Roman" w:hAnsi="Times New Roman"/>
          <w:color w:val="000000"/>
          <w:sz w:val="24"/>
        </w:rPr>
        <w:t>. The paragraph headings used in the Agreement are included solely for convenience and shall not affect or be used in connection with the interpretation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by the Parties in counterparts, which are defined as duplicate originals, all of which taken together shall be construed as one document.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left"/>
        <w:rPr/>
      </w:pPr>
      <w:r>
        <w:rPr>
          <w:rFonts w:ascii="Times New Roman" w:hAnsi="Times New Roman"/>
          <w:color w:val="000000"/>
          <w:sz w:val="24"/>
          <w:u w:val="single"/>
        </w:rPr>
        <w:t>Signature</w:t>
      </w:r>
      <w:r>
        <w:rPr>
          <w:rFonts w:ascii="Times New Roman" w:hAnsi="Times New Roman"/>
          <w:color w:val="000000"/>
          <w:sz w:val="24"/>
        </w:rPr>
        <w:t>. A signature by DocuSign, email, or other electronic means on this Agreement shall be as legally binding as an original signature.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left"/>
        <w:rPr/>
      </w:pPr>
      <w:r>
        <w:rPr>
          <w:rFonts w:ascii="Times New Roman" w:hAnsi="Times New Roman"/>
          <w:color w:val="000000"/>
          <w:sz w:val="24"/>
          <w:u w:val="single"/>
        </w:rPr>
        <w:t>Governing Law</w:t>
      </w:r>
      <w:r>
        <w:rPr>
          <w:rFonts w:ascii="Times New Roman" w:hAnsi="Times New Roman"/>
          <w:color w:val="000000"/>
          <w:sz w:val="24"/>
        </w:rPr>
        <w:t xml:space="preserve">. This Agreement shall be governed and conformed in accordance with the laws of the State of California, without regard to its conflicts of law principles.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PLEASE READ CAREFULLY. THIS AGREEMENT INCLUDES A RELEASE OF ALL KNOWN AND UNKNOWN CLAIMS.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Executed on ___, ____ by: _______________________________________ [EMPLOYEE NAME]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Executed on ___, ____ by: _______________________________________ [Chair of the Board of Directors]</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Exhibit B</w:t>
      </w:r>
      <w:r>
        <w:rPr>
          <w:rFonts w:ascii="Times New Roman" w:hAnsi="Times New Roman"/>
          <w:b/>
          <w:color w:val="000000"/>
          <w:sz w:val="24"/>
        </w:rPr>
        <w:br/>
        <w:br/>
        <w:t>Confidentiality and Inventions Agreement</w:t>
      </w:r>
    </w:p>
    <w:p>
      <w:pPr>
        <w:pStyle w:val="TextBody"/>
        <w:bidi w:val="0"/>
        <w:spacing w:before="0" w:after="240"/>
        <w:jc w:val="center"/>
        <w:rPr>
          <w:rFonts w:ascii="Arial" w:hAnsi="Arial"/>
          <w:b/>
          <w:color w:val="000000"/>
          <w:sz w:val="24"/>
        </w:rPr>
      </w:pPr>
      <w:r>
        <w:rPr>
          <w:rFonts w:ascii="Arial" w:hAnsi="Arial"/>
          <w:b/>
          <w:color w:val="000000"/>
          <w:sz w:val="24"/>
        </w:rPr>
        <w:t>EMPLOYEE CONFIDENTIALITY &amp; NON-DISCLOSURE AGREEMENT</w:t>
      </w:r>
    </w:p>
    <w:p>
      <w:pPr>
        <w:pStyle w:val="TextBody"/>
        <w:bidi w:val="0"/>
        <w:jc w:val="both"/>
        <w:rPr>
          <w:rFonts w:ascii="Times New Roman" w:hAnsi="Times New Roman"/>
          <w:sz w:val="20"/>
        </w:rPr>
      </w:pPr>
      <w:bookmarkStart w:id="40" w:name="text4"/>
      <w:bookmarkEnd w:id="40"/>
      <w:r>
        <w:rPr>
          <w:rFonts w:ascii="Arial" w:hAnsi="Arial"/>
          <w:color w:val="000000"/>
          <w:sz w:val="24"/>
        </w:rPr>
        <w:t>This Employee Confidentiality &amp; Non-Disclosure Agreement (“Agreement”) is made as of [Date] by and between</w:t>
      </w:r>
      <w:r>
        <w:rPr>
          <w:rFonts w:ascii="Times New Roman" w:hAnsi="Times New Roman"/>
          <w:color w:val="000000"/>
          <w:sz w:val="20"/>
        </w:rPr>
        <w:t xml:space="preserve"> </w:t>
      </w:r>
      <w:r>
        <w:rPr>
          <w:rFonts w:ascii="Arial" w:hAnsi="Arial"/>
          <w:color w:val="000000"/>
          <w:sz w:val="24"/>
        </w:rPr>
        <w:t>Mani Mohindru, Ph.D. (“Employee”) and Cardiff Oncology, Inc. (the “Company”) with respect to the following facts: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A. Employee is about to become a paid employee of the Company based in California;</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Arial" w:hAnsi="Arial"/>
          <w:color w:val="000000"/>
          <w:sz w:val="24"/>
        </w:rPr>
        <w:t>In connection with this employment, Employee will have access to certain confidential, proprietary, and/or trade secret information of the Company, and may in the course of employment with the Company participate in creating such information.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4"/>
        </w:rPr>
        <w:t>THEREFORE, in consideration of Employee’s employment with the Company as well as the compensation that will be paid to Employee by the Company, Employee agrees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1.</w:t>
      </w:r>
    </w:p>
    <w:p>
      <w:pPr>
        <w:pStyle w:val="TextBody"/>
        <w:bidi w:val="0"/>
        <w:spacing w:before="0" w:after="240"/>
        <w:jc w:val="both"/>
        <w:rPr/>
      </w:pPr>
      <w:r>
        <w:rPr>
          <w:rFonts w:ascii="Arial" w:hAnsi="Arial"/>
          <w:color w:val="000000"/>
          <w:sz w:val="24"/>
          <w:u w:val="single"/>
        </w:rPr>
        <w:t>Definitions.</w:t>
      </w:r>
      <w:r>
        <w:rPr>
          <w:color w:val="000000"/>
        </w:rPr>
        <w:t xml:space="preserve"> </w:t>
      </w:r>
    </w:p>
    <w:p>
      <w:pPr>
        <w:pStyle w:val="TextBody"/>
        <w:bidi w:val="0"/>
        <w:spacing w:before="0" w:after="240"/>
        <w:jc w:val="both"/>
        <w:rPr>
          <w:rFonts w:ascii="Arial" w:hAnsi="Arial"/>
          <w:color w:val="000000"/>
          <w:sz w:val="24"/>
        </w:rPr>
      </w:pPr>
      <w:r>
        <w:rPr>
          <w:rFonts w:ascii="Arial" w:hAnsi="Arial"/>
          <w:color w:val="000000"/>
          <w:sz w:val="24"/>
        </w:rPr>
        <w:t>1.1 “Confidential Information” is defined as all non-public information obtained by Employee from or pertaining to the Company and its business during the course of Employee's employment with the Company, including but not limited to the Company’s Trade Secrets; inventions, designs, improvements, methodology, concepts; plans and results of research and development; marketing and advertising strategies; lists of present and future clients; client contracts; all data obtained from or related to Company clients, including their preferences and contracting habits or terms; supplier lists and information; any Company personnel information (except concerning the Employee); cost figures; pricing; financial information; software; systems; special techniques of any kind peculiar to the Company’s products, services, or operations; special ideas, plans, proposals, processes or information related to the current, future and proposed business, products, services or sales of the Company and its clients; and any other information that Employee receives as a result of Employee’s employment with the Company that has not been disclosed previously to the general public by an authorized Company representative or client. This specifically includes all information the Company receives from clients or other third parties that is not generally known to the public or is subject to a confidentiality agreement. Confidential Information does not include general industry skills, experience, or know-how, and does not include information that is generally available to the public.</w:t>
      </w:r>
    </w:p>
    <w:p>
      <w:pPr>
        <w:pStyle w:val="TextBody"/>
        <w:bidi w:val="0"/>
        <w:jc w:val="both"/>
        <w:rPr>
          <w:rFonts w:ascii="Times New Roman" w:hAnsi="Times New Roman"/>
          <w:sz w:val="20"/>
        </w:rPr>
      </w:pPr>
      <w:r>
        <w:rPr>
          <w:rFonts w:ascii="Arial" w:hAnsi="Arial"/>
          <w:color w:val="000000"/>
          <w:sz w:val="24"/>
        </w:rPr>
        <w:t>1.2 “Services”</w:t>
      </w:r>
      <w:r>
        <w:rPr>
          <w:rFonts w:ascii="Times New Roman" w:hAnsi="Times New Roman"/>
          <w:color w:val="000000"/>
          <w:sz w:val="20"/>
        </w:rPr>
        <w:t xml:space="preserve"> </w:t>
      </w:r>
      <w:r>
        <w:rPr>
          <w:rFonts w:ascii="Arial" w:hAnsi="Arial"/>
          <w:color w:val="000000"/>
          <w:sz w:val="24"/>
        </w:rPr>
        <w:t>means any tasks performed or services rendered by Employee in the course of Employee’s employment with the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1.3</w:t>
      </w:r>
    </w:p>
    <w:p>
      <w:pPr>
        <w:pStyle w:val="TextBody"/>
        <w:bidi w:val="0"/>
        <w:spacing w:before="0" w:after="240"/>
        <w:jc w:val="both"/>
        <w:rPr/>
      </w:pPr>
      <w:r>
        <w:rPr>
          <w:color w:val="000000"/>
        </w:rPr>
        <w:t>“</w:t>
      </w:r>
      <w:r>
        <w:rPr>
          <w:rFonts w:ascii="Arial" w:hAnsi="Arial"/>
          <w:color w:val="000000"/>
          <w:sz w:val="24"/>
        </w:rPr>
        <w:t>Trade Secret”</w:t>
      </w:r>
      <w:r>
        <w:rPr>
          <w:color w:val="000000"/>
        </w:rPr>
        <w:t xml:space="preserve"> </w:t>
      </w:r>
      <w:r>
        <w:rPr>
          <w:rFonts w:ascii="Arial" w:hAnsi="Arial"/>
          <w:color w:val="000000"/>
          <w:sz w:val="24"/>
        </w:rPr>
        <w:t>has that meaning set forth under applicable law. It includes all information that may be considered a Trade Secret under applicable law.</w:t>
      </w:r>
    </w:p>
    <w:p>
      <w:pPr>
        <w:pStyle w:val="TextBody"/>
        <w:bidi w:val="0"/>
        <w:jc w:val="both"/>
        <w:rPr>
          <w:rFonts w:ascii="Arial" w:hAnsi="Arial"/>
          <w:color w:val="000000"/>
          <w:sz w:val="24"/>
        </w:rPr>
      </w:pPr>
      <w:r>
        <w:rPr>
          <w:rFonts w:ascii="Arial" w:hAnsi="Arial"/>
          <w:color w:val="000000"/>
          <w:sz w:val="24"/>
        </w:rPr>
        <w:t>1.4 “Work Product” means Employee’s works of authorship, discoveries, inventions and innovations resulting from his/her Services, and any Confidential Information and/or Trade Secrets originated or prepared by Employee for, or in the performance of, the Services.</w:t>
      </w:r>
    </w:p>
    <w:p>
      <w:pPr>
        <w:pStyle w:val="TextBody"/>
        <w:bidi w:val="0"/>
        <w:spacing w:before="0" w:after="0"/>
        <w:jc w:val="both"/>
        <w:rPr>
          <w:rFonts w:ascii="Arial" w:hAnsi="Arial"/>
          <w:color w:val="000000"/>
          <w:sz w:val="24"/>
        </w:rPr>
      </w:pPr>
      <w:r>
        <w:rPr>
          <w:rFonts w:ascii="Arial" w:hAnsi="Arial"/>
          <w:color w:val="000000"/>
          <w:sz w:val="24"/>
        </w:rPr>
        <w:t>2</w:t>
      </w:r>
    </w:p>
    <w:p>
      <w:pPr>
        <w:pStyle w:val="TextBody"/>
        <w:bidi w:val="0"/>
        <w:jc w:val="both"/>
        <w:rPr/>
      </w:pPr>
      <w:r>
        <w:rPr>
          <w:rFonts w:ascii="Arial" w:hAnsi="Arial"/>
          <w:color w:val="000000"/>
          <w:sz w:val="24"/>
          <w:u w:val="single"/>
        </w:rPr>
        <w:t>Proprietary Interest &amp; Rights</w:t>
      </w:r>
      <w:r>
        <w:rPr>
          <w:rFonts w:ascii="Arial" w:hAnsi="Arial"/>
          <w:color w:val="000000"/>
          <w:sz w:val="24"/>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4"/>
        </w:rPr>
        <w:t xml:space="preserve">2.1. </w:t>
      </w:r>
      <w:r>
        <w:rPr>
          <w:rFonts w:ascii="Arial" w:hAnsi="Arial"/>
          <w:color w:val="000000"/>
          <w:sz w:val="24"/>
          <w:u w:val="single"/>
        </w:rPr>
        <w:t>Acknowledgment of Company’s Proprietary Interest</w:t>
      </w:r>
      <w:r>
        <w:rPr>
          <w:rFonts w:ascii="Arial" w:hAnsi="Arial"/>
          <w:color w:val="000000"/>
          <w:sz w:val="24"/>
        </w:rPr>
        <w:t>. Employee acknowledges and agrees that any and all Confidential Information and Trade Secrets, whether developed by Employee alone or in conjunction with others, or by other Company employees, or otherwise acquired by the Company, is the sole and exclusive property of the Company. Employee hereby disclaims any proprietary interest in any such Confidential Information and/or Trade Secrets.</w:t>
      </w:r>
    </w:p>
    <w:p>
      <w:pPr>
        <w:pStyle w:val="TextBody"/>
        <w:bidi w:val="0"/>
        <w:spacing w:before="0" w:after="240"/>
        <w:jc w:val="both"/>
        <w:rPr>
          <w:rFonts w:ascii="Times New Roman" w:hAnsi="Times New Roman"/>
          <w:sz w:val="20"/>
        </w:rPr>
      </w:pPr>
      <w:r>
        <w:rPr>
          <w:rFonts w:ascii="Arial" w:hAnsi="Arial"/>
          <w:color w:val="000000"/>
          <w:sz w:val="24"/>
        </w:rPr>
        <w:t xml:space="preserve">2.2 </w:t>
      </w:r>
      <w:r>
        <w:rPr>
          <w:rFonts w:ascii="Arial" w:hAnsi="Arial"/>
          <w:color w:val="000000"/>
          <w:sz w:val="24"/>
          <w:u w:val="single"/>
        </w:rPr>
        <w:t>Rights to Confidential Information, Trade Secrets and Work Product</w:t>
      </w:r>
      <w:r>
        <w:rPr>
          <w:rFonts w:ascii="Arial" w:hAnsi="Arial"/>
          <w:color w:val="000000"/>
          <w:sz w:val="24"/>
        </w:rPr>
        <w:t>. Employee acknowledges and agrees that all Confidential Information and Trade Secrets shall remain the exclusive property of the Company. Employee is authorized to use Confidential Information and Trade Secrets solely to perform Services for the benefit of the Company. No license, express or implied, to use any of the Company’s Confidential Information or Trade Secrets is granted under this Agreement.</w:t>
      </w:r>
    </w:p>
    <w:p>
      <w:pPr>
        <w:pStyle w:val="TextBody"/>
        <w:bidi w:val="0"/>
        <w:spacing w:before="0" w:after="240"/>
        <w:jc w:val="both"/>
        <w:rPr>
          <w:rFonts w:ascii="Times New Roman" w:hAnsi="Times New Roman"/>
          <w:sz w:val="20"/>
        </w:rPr>
      </w:pPr>
      <w:r>
        <w:rPr>
          <w:rFonts w:ascii="Arial" w:hAnsi="Arial"/>
          <w:color w:val="000000"/>
          <w:sz w:val="24"/>
        </w:rPr>
        <w:t xml:space="preserve">2.3. </w:t>
      </w:r>
      <w:r>
        <w:rPr>
          <w:rFonts w:ascii="Arial" w:hAnsi="Arial"/>
          <w:color w:val="000000"/>
          <w:sz w:val="24"/>
          <w:u w:val="single"/>
        </w:rPr>
        <w:t>Works Made for Hire.</w:t>
      </w:r>
      <w:r>
        <w:rPr>
          <w:rFonts w:ascii="Times New Roman" w:hAnsi="Times New Roman"/>
          <w:color w:val="000000"/>
          <w:sz w:val="20"/>
        </w:rPr>
        <w:t xml:space="preserve"> </w:t>
      </w:r>
      <w:r>
        <w:rPr>
          <w:rFonts w:ascii="Arial" w:hAnsi="Arial"/>
          <w:color w:val="000000"/>
          <w:sz w:val="24"/>
        </w:rPr>
        <w:t>Employee and the Company agree that all Work Product, including any work of authorship, including but not limited to any computer program, source code, processes, techniques, or software, is a “work made for hire” within the meaning of Section 101 of Title 17 of the United States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4"/>
        </w:rPr>
        <w:t xml:space="preserve">2.4. </w:t>
      </w:r>
      <w:r>
        <w:rPr>
          <w:rFonts w:ascii="Arial" w:hAnsi="Arial"/>
          <w:color w:val="000000"/>
          <w:sz w:val="24"/>
          <w:u w:val="single"/>
        </w:rPr>
        <w:t>Assignment of Work Product</w:t>
      </w:r>
      <w:r>
        <w:rPr>
          <w:rFonts w:ascii="Arial" w:hAnsi="Arial"/>
          <w:color w:val="000000"/>
          <w:sz w:val="24"/>
        </w:rPr>
        <w:t>. All Work Product shall be promptly communicated to the Company. Employee hereby assigns to the Company all of Employee’s rights, title and interest in and to all Work Product created in, arising from, or based on Confidential Information and/or Trade Secrets developed during the performance of the Services or provided to Employee during employment with the Company, and to any and all intellectual property rights, including but not limited to, patents, copyrights or trademarks which have been or may be obtained with respect to such Work Product, effective immediately upon origination, creation, preparation or discovery thereof and regardless of the medium of expression thereof. Whenever requested, Employee immediately shall execute a confirmatory assignment of any particular items(s) of Work Product in a form satisfactory to the Company, shall testify in all legal proceedings, sign all lawful papers and otherwise perform all acts necessary or appropriate to enable the Company and its successors and assigns to obtain and document the Company’s ownership of all Work Product and enforce all available legal protections for all such Work Product in all countries.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4"/>
        </w:rPr>
        <w:t xml:space="preserve">2.5 </w:t>
      </w:r>
      <w:r>
        <w:rPr>
          <w:rFonts w:ascii="Arial" w:hAnsi="Arial"/>
          <w:color w:val="000000"/>
          <w:sz w:val="24"/>
          <w:u w:val="single"/>
        </w:rPr>
        <w:t>Exclusion Notice</w:t>
      </w:r>
      <w:r>
        <w:rPr>
          <w:rFonts w:ascii="Arial" w:hAnsi="Arial"/>
          <w:color w:val="000000"/>
          <w:sz w:val="24"/>
        </w:rPr>
        <w:t>. Pursuant to California Labor Code section 2870, the assignment by Employee of inventions under this Agreement does not apply to 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4"/>
        </w:rPr>
      </w:pPr>
      <w:r>
        <w:rPr>
          <w:rFonts w:ascii="Arial" w:hAnsi="Arial"/>
          <w:color w:val="000000"/>
          <w:sz w:val="24"/>
        </w:rPr>
        <w:t>inventions to which all of the following are applicable: (a) no equipment, supplies, facility, or trade secret information of Company were used; (b) the invention or idea does not relate to the business of Company; (c) the invention or idea does not relate to Company’s actual or demonstrably anticipated research or development; (d) the invention or idea does not result from any work performed by Employee for Company; and (e) no part of the invention was developed during times Employee was performing work for the Company.</w:t>
      </w:r>
    </w:p>
    <w:p>
      <w:pPr>
        <w:pStyle w:val="TextBody"/>
        <w:bidi w:val="0"/>
        <w:spacing w:before="0" w:after="240"/>
        <w:jc w:val="both"/>
        <w:rPr/>
      </w:pPr>
      <w:r>
        <w:rPr/>
        <w:t> </w:t>
      </w:r>
    </w:p>
    <w:p>
      <w:pPr>
        <w:pStyle w:val="TextBody"/>
        <w:bidi w:val="0"/>
        <w:jc w:val="both"/>
        <w:rPr/>
      </w:pPr>
      <w:r>
        <w:rPr/>
        <w:t> </w:t>
      </w:r>
    </w:p>
    <w:p>
      <w:pPr>
        <w:pStyle w:val="TextBody"/>
        <w:bidi w:val="0"/>
        <w:spacing w:before="240" w:after="283"/>
        <w:jc w:val="both"/>
        <w:rPr/>
      </w:pPr>
      <w:r>
        <w:rPr/>
        <w:t> </w:t>
      </w:r>
    </w:p>
    <w:p>
      <w:pPr>
        <w:pStyle w:val="TextBody"/>
        <w:bidi w:val="0"/>
        <w:spacing w:before="0" w:after="0"/>
        <w:jc w:val="both"/>
        <w:rPr>
          <w:rFonts w:ascii="Arial" w:hAnsi="Arial"/>
          <w:color w:val="000000"/>
          <w:sz w:val="24"/>
        </w:rPr>
      </w:pPr>
      <w:r>
        <w:rPr>
          <w:rFonts w:ascii="Arial" w:hAnsi="Arial"/>
          <w:color w:val="000000"/>
          <w:sz w:val="24"/>
        </w:rPr>
        <w:t>3.</w:t>
      </w:r>
    </w:p>
    <w:p>
      <w:pPr>
        <w:pStyle w:val="TextBody"/>
        <w:bidi w:val="0"/>
        <w:jc w:val="both"/>
        <w:rPr/>
      </w:pPr>
      <w:r>
        <w:rPr>
          <w:rFonts w:ascii="Arial" w:hAnsi="Arial"/>
          <w:color w:val="000000"/>
          <w:sz w:val="24"/>
          <w:u w:val="single"/>
        </w:rPr>
        <w:t>Protection of Confidential Information and Trade Secrets</w:t>
      </w:r>
      <w:r>
        <w:rPr>
          <w:rFonts w:ascii="Arial" w:hAnsi="Arial"/>
          <w:color w:val="000000"/>
          <w:sz w:val="24"/>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 xml:space="preserve">3.1 </w:t>
      </w:r>
      <w:r>
        <w:rPr>
          <w:rFonts w:ascii="Arial" w:hAnsi="Arial"/>
          <w:color w:val="000000"/>
          <w:sz w:val="24"/>
          <w:u w:val="single"/>
        </w:rPr>
        <w:t>Use or Disclosure.</w:t>
      </w:r>
      <w:r>
        <w:rPr>
          <w:rFonts w:ascii="Times New Roman" w:hAnsi="Times New Roman"/>
          <w:color w:val="000000"/>
          <w:sz w:val="20"/>
        </w:rPr>
        <w:t xml:space="preserve"> </w:t>
      </w:r>
      <w:r>
        <w:rPr>
          <w:rFonts w:ascii="Arial" w:hAnsi="Arial"/>
          <w:color w:val="000000"/>
          <w:sz w:val="24"/>
        </w:rPr>
        <w:t>Employee acknowledges and agrees that the Company is entitled to prevent the unauthorized use and disclosure of its Confidential Information and Trade Secrets. As part of the consideration for Employee’s employment and for the compensation being paid to Employee by the Company, Employee agrees that at all times during the term of his/her employment by the Company, and indefinitely thereafter, Employee will hold in strictest confidence, and will not directly or indirectly use, disclose or allow to be disclosed to any person, firm, or corporation, the Company’s Confidential Information and Trade Secrets, unless previously authorized by the Company for use in the pursuit of Company business, and for the benefit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3.2 </w:t>
      </w:r>
      <w:r>
        <w:rPr>
          <w:rFonts w:ascii="Arial" w:hAnsi="Arial"/>
          <w:color w:val="000000"/>
          <w:sz w:val="24"/>
          <w:u w:val="single"/>
        </w:rPr>
        <w:t>Adverse Use.</w:t>
      </w:r>
      <w:r>
        <w:rPr>
          <w:rFonts w:ascii="Times New Roman" w:hAnsi="Times New Roman"/>
          <w:color w:val="000000"/>
          <w:sz w:val="20"/>
        </w:rPr>
        <w:t xml:space="preserve"> </w:t>
      </w:r>
      <w:r>
        <w:rPr>
          <w:rFonts w:ascii="Arial" w:hAnsi="Arial"/>
          <w:color w:val="000000"/>
          <w:sz w:val="24"/>
        </w:rPr>
        <w:t>Employee will not at any time use any of the Company’s Confidential Information or Trade Secrets in any manner that may directly or indirectly have an adverse effect upon the Company’s business, nor will Employee perform any acts that would tend to reduce the value of the Company’s Confidential Information or Trade Secret.</w:t>
      </w:r>
      <w:r>
        <w:rPr>
          <w:rFonts w:ascii="Times New Roman" w:hAnsi="Times New Roman"/>
          <w:color w:val="000000"/>
          <w:sz w:val="20"/>
        </w:rPr>
        <w:t xml:space="preserve"> </w:t>
      </w:r>
    </w:p>
    <w:p>
      <w:pPr>
        <w:pStyle w:val="TextBody"/>
        <w:bidi w:val="0"/>
        <w:spacing w:before="0" w:after="0"/>
        <w:jc w:val="both"/>
        <w:rPr>
          <w:rFonts w:ascii="Arial" w:hAnsi="Arial"/>
          <w:color w:val="000000"/>
          <w:sz w:val="24"/>
        </w:rPr>
      </w:pPr>
      <w:r>
        <w:rPr>
          <w:rFonts w:ascii="Arial" w:hAnsi="Arial"/>
          <w:color w:val="000000"/>
          <w:sz w:val="24"/>
        </w:rPr>
        <w:t>4.</w:t>
      </w:r>
    </w:p>
    <w:p>
      <w:pPr>
        <w:pStyle w:val="TextBody"/>
        <w:bidi w:val="0"/>
        <w:jc w:val="both"/>
        <w:rPr/>
      </w:pPr>
      <w:r>
        <w:rPr>
          <w:rFonts w:ascii="Arial" w:hAnsi="Arial"/>
          <w:color w:val="000000"/>
          <w:sz w:val="24"/>
          <w:u w:val="single"/>
        </w:rPr>
        <w:t>Property of the Business.</w:t>
      </w:r>
      <w:r>
        <w:rPr>
          <w:color w:val="000000"/>
        </w:rPr>
        <w:t xml:space="preserve"> </w:t>
      </w:r>
      <w:r>
        <w:rPr>
          <w:rFonts w:ascii="Arial" w:hAnsi="Arial"/>
          <w:color w:val="000000"/>
          <w:sz w:val="24"/>
        </w:rPr>
        <w:t>All files, documents, plans, memoranda, notes, lists, records, contracts and other documents or papers (and all copies thereof) relating to the Company’s business, including such items stored in computer memories, on computer disks or by any other means, made or compiled by or on behalf of the Employee or the Company or made available to them relating to the Company’s business, are and shall be the Company’s property and may not be copied or removed from the Company’s premises (either physically or electronically), unless expressly approved by a duly authorized representative of the Company.</w:t>
      </w:r>
    </w:p>
    <w:p>
      <w:pPr>
        <w:pStyle w:val="TextBody"/>
        <w:bidi w:val="0"/>
        <w:jc w:val="left"/>
        <w:rPr/>
      </w:pPr>
      <w:r>
        <w:rPr/>
        <w:t> </w:t>
      </w:r>
    </w:p>
    <w:p>
      <w:pPr>
        <w:pStyle w:val="TextBody"/>
        <w:bidi w:val="0"/>
        <w:spacing w:before="0" w:after="0"/>
        <w:jc w:val="both"/>
        <w:rPr>
          <w:rFonts w:ascii="Arial" w:hAnsi="Arial"/>
          <w:color w:val="000000"/>
          <w:sz w:val="24"/>
        </w:rPr>
      </w:pPr>
      <w:r>
        <w:rPr>
          <w:rFonts w:ascii="Arial" w:hAnsi="Arial"/>
          <w:color w:val="000000"/>
          <w:sz w:val="24"/>
        </w:rPr>
        <w:t>5.</w:t>
      </w:r>
    </w:p>
    <w:p>
      <w:pPr>
        <w:pStyle w:val="TextBody"/>
        <w:bidi w:val="0"/>
        <w:jc w:val="both"/>
        <w:rPr/>
      </w:pPr>
      <w:r>
        <w:rPr>
          <w:rFonts w:ascii="Arial" w:hAnsi="Arial"/>
          <w:color w:val="000000"/>
          <w:sz w:val="24"/>
          <w:u w:val="single"/>
        </w:rPr>
        <w:t>Third Party Trade Secrets</w:t>
      </w:r>
      <w:r>
        <w:rPr>
          <w:rFonts w:ascii="Arial" w:hAnsi="Arial"/>
          <w:color w:val="000000"/>
          <w:sz w:val="24"/>
        </w:rPr>
        <w:t xml:space="preserve">. Employee will not disclose to the Company or use in his/her work any Trade Secrets or inventions of his/her former employers or any third party which Employee is not lawfully entitled to disclose or use. Employee agrees to disclose to the Company, on Attachment “A” hereto, all agreements now in effect under which Employee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has agreed to maintain the confidentiality of the information of, or to not compete with, a third party.</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6.</w:t>
      </w:r>
    </w:p>
    <w:p>
      <w:pPr>
        <w:pStyle w:val="TextBody"/>
        <w:bidi w:val="0"/>
        <w:spacing w:before="0" w:after="240"/>
        <w:jc w:val="both"/>
        <w:rPr/>
      </w:pPr>
      <w:r>
        <w:rPr>
          <w:rFonts w:ascii="Arial" w:hAnsi="Arial"/>
          <w:color w:val="000000"/>
          <w:sz w:val="24"/>
          <w:u w:val="single"/>
        </w:rPr>
        <w:t>Restrictions During Employment</w:t>
      </w:r>
      <w:r>
        <w:rPr>
          <w:rFonts w:ascii="Arial" w:hAnsi="Arial"/>
          <w:color w:val="000000"/>
          <w:sz w:val="24"/>
        </w:rPr>
        <w:t xml:space="preserve">. </w:t>
      </w:r>
    </w:p>
    <w:p>
      <w:pPr>
        <w:pStyle w:val="TextBody"/>
        <w:bidi w:val="0"/>
        <w:spacing w:before="0" w:after="120"/>
        <w:jc w:val="left"/>
        <w:rPr>
          <w:rFonts w:ascii="Times New Roman" w:hAnsi="Times New Roman"/>
          <w:sz w:val="20"/>
        </w:rPr>
      </w:pPr>
      <w:r>
        <w:rPr>
          <w:rFonts w:ascii="Arial" w:hAnsi="Arial"/>
          <w:color w:val="000000"/>
          <w:sz w:val="24"/>
        </w:rPr>
        <w:t xml:space="preserve">6.1 </w:t>
      </w:r>
      <w:r>
        <w:rPr>
          <w:rFonts w:ascii="Arial" w:hAnsi="Arial"/>
          <w:color w:val="000000"/>
          <w:sz w:val="24"/>
          <w:u w:val="single"/>
        </w:rPr>
        <w:t>Non-Solicitation.</w:t>
      </w:r>
      <w:r>
        <w:rPr>
          <w:rFonts w:ascii="Times New Roman" w:hAnsi="Times New Roman"/>
          <w:color w:val="000000"/>
          <w:sz w:val="20"/>
        </w:rPr>
        <w:t xml:space="preserve"> </w:t>
      </w:r>
      <w:r>
        <w:rPr>
          <w:rFonts w:ascii="Arial" w:hAnsi="Arial"/>
          <w:color w:val="000000"/>
          <w:sz w:val="24"/>
        </w:rPr>
        <w:t>Employee agrees that during his/her employment with the Company, Employee will not directly or indirectly divert or attempt to divert clients’ or potential clients’ business from the Company, nor will Employee directly or indirectly, solicit, induce or attempt to solicit or induce any employee of the Company to accept employment outside of the Company.</w:t>
      </w:r>
    </w:p>
    <w:p>
      <w:pPr>
        <w:pStyle w:val="TextBody"/>
        <w:bidi w:val="0"/>
        <w:spacing w:before="0" w:after="120"/>
        <w:jc w:val="left"/>
        <w:rPr>
          <w:rFonts w:ascii="Times New Roman" w:hAnsi="Times New Roman"/>
          <w:sz w:val="20"/>
        </w:rPr>
      </w:pPr>
      <w:r>
        <w:rPr>
          <w:rFonts w:ascii="Arial" w:hAnsi="Arial"/>
          <w:color w:val="000000"/>
          <w:sz w:val="24"/>
        </w:rPr>
        <w:t xml:space="preserve">6.2 </w:t>
      </w:r>
      <w:r>
        <w:rPr>
          <w:rFonts w:ascii="Arial" w:hAnsi="Arial"/>
          <w:color w:val="000000"/>
          <w:sz w:val="24"/>
          <w:u w:val="single"/>
        </w:rPr>
        <w:t>Non-Competition.</w:t>
      </w:r>
      <w:r>
        <w:rPr>
          <w:rFonts w:ascii="Times New Roman" w:hAnsi="Times New Roman"/>
          <w:color w:val="000000"/>
          <w:sz w:val="20"/>
        </w:rPr>
        <w:t xml:space="preserve"> </w:t>
      </w:r>
      <w:r>
        <w:rPr>
          <w:rFonts w:ascii="Arial" w:hAnsi="Arial"/>
          <w:color w:val="000000"/>
          <w:sz w:val="24"/>
        </w:rPr>
        <w:t>Employee acknowledges and agrees that during the term of this Agreement (which for purposes of this paragraph shall be deemed to include any period for which Employee continues to be paid following termination or resignation), he/she will not, anywhere in the world, directly or indirectly, acting individually or as the owner, shareholder, partner, consultant, independent contractor or employee of any entity, compete with the Company in any way, or act as an officer, director, employee, consultant, lender, or agent of any person or entity that is engaged in any business of the same nature as, or in competition with, the business in which the Company is now engaged or in which the Company becomes engaged during the term of Employee’s employment.</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spacing w:before="0" w:after="240"/>
        <w:jc w:val="both"/>
        <w:rPr>
          <w:rFonts w:ascii="Arial" w:hAnsi="Arial"/>
          <w:color w:val="000000"/>
          <w:sz w:val="24"/>
        </w:rPr>
      </w:pPr>
      <w:r>
        <w:rPr>
          <w:rFonts w:ascii="Arial" w:hAnsi="Arial"/>
          <w:color w:val="000000"/>
          <w:sz w:val="24"/>
        </w:rPr>
        <w:t>7.</w:t>
      </w:r>
    </w:p>
    <w:p>
      <w:pPr>
        <w:pStyle w:val="TextBody"/>
        <w:bidi w:val="0"/>
        <w:spacing w:before="0" w:after="240"/>
        <w:jc w:val="both"/>
        <w:rPr/>
      </w:pPr>
      <w:r>
        <w:rPr>
          <w:rFonts w:ascii="Arial" w:hAnsi="Arial"/>
          <w:color w:val="000000"/>
          <w:sz w:val="24"/>
          <w:u w:val="single"/>
        </w:rPr>
        <w:t>Business Opportunities</w:t>
      </w:r>
      <w:r>
        <w:rPr>
          <w:rFonts w:ascii="Arial" w:hAnsi="Arial"/>
          <w:color w:val="000000"/>
          <w:sz w:val="24"/>
        </w:rPr>
        <w:t>. Employee will promptly disclose to the Company any business opportunity of which Employee becomes aware during his/her employment with the Company and (i) which relates to any products or services planned, under development, developed, produced or marketed by the Company or (ii) of which Employee becomes aware in the course of or as a result of his/her employment with the Company. Employee will not take advantage of or divert any such opportunity for his/her own gain, profit or benefit, or any other person or entity without the written consent of the Company.</w:t>
      </w:r>
    </w:p>
    <w:p>
      <w:pPr>
        <w:pStyle w:val="TextBody"/>
        <w:bidi w:val="0"/>
        <w:spacing w:before="0" w:after="0"/>
        <w:jc w:val="both"/>
        <w:rPr>
          <w:rFonts w:ascii="Arial" w:hAnsi="Arial"/>
          <w:color w:val="000000"/>
          <w:sz w:val="24"/>
        </w:rPr>
      </w:pPr>
      <w:r>
        <w:rPr>
          <w:rFonts w:ascii="Arial" w:hAnsi="Arial"/>
          <w:color w:val="000000"/>
          <w:sz w:val="24"/>
        </w:rPr>
        <w:t>8.</w:t>
      </w:r>
    </w:p>
    <w:p>
      <w:pPr>
        <w:pStyle w:val="TextBody"/>
        <w:bidi w:val="0"/>
        <w:jc w:val="both"/>
        <w:rPr>
          <w:rFonts w:ascii="Arial" w:hAnsi="Arial"/>
          <w:color w:val="000000"/>
          <w:sz w:val="24"/>
          <w:u w:val="single"/>
        </w:rPr>
      </w:pPr>
      <w:r>
        <w:rPr>
          <w:rFonts w:ascii="Arial" w:hAnsi="Arial"/>
          <w:color w:val="000000"/>
          <w:sz w:val="24"/>
          <w:u w:val="single"/>
        </w:rPr>
        <w:t xml:space="preserve">Post-Employment Restrictions.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8.1 </w:t>
      </w:r>
      <w:r>
        <w:rPr>
          <w:rFonts w:ascii="Arial" w:hAnsi="Arial"/>
          <w:color w:val="000000"/>
          <w:sz w:val="24"/>
          <w:u w:val="single"/>
        </w:rPr>
        <w:t>Non-Solicitation of Employees</w:t>
      </w:r>
      <w:r>
        <w:rPr>
          <w:rFonts w:ascii="Arial" w:hAnsi="Arial"/>
          <w:color w:val="000000"/>
          <w:sz w:val="24"/>
        </w:rPr>
        <w:t>. For a period of one year following the end, for whatever reason, of Employee’s employment with the Company, Employee shall not, directly or indirectly, induce or attempt to induce, any employee of the Company to end or diminish his/her relationship with the Company, or solicit or attempt to solicit any Company employee for outside employment. Employee shall also not provide any information about the Company’s employees to any other person for the purpose of assisting any third party to solicit the Company’s employees for outside employment.</w:t>
      </w:r>
    </w:p>
    <w:p>
      <w:pPr>
        <w:pStyle w:val="TextBody"/>
        <w:bidi w:val="0"/>
        <w:jc w:val="both"/>
        <w:rPr/>
      </w:pPr>
      <w:r>
        <w:rPr/>
        <w:t> </w:t>
      </w:r>
    </w:p>
    <w:p>
      <w:pPr>
        <w:pStyle w:val="TextBody"/>
        <w:bidi w:val="0"/>
        <w:spacing w:before="0" w:after="120"/>
        <w:jc w:val="left"/>
        <w:rPr>
          <w:rFonts w:ascii="Times New Roman" w:hAnsi="Times New Roman"/>
          <w:sz w:val="20"/>
        </w:rPr>
      </w:pPr>
      <w:r>
        <w:rPr>
          <w:rFonts w:ascii="Arial" w:hAnsi="Arial"/>
          <w:color w:val="000000"/>
          <w:sz w:val="24"/>
        </w:rPr>
        <w:t xml:space="preserve">8.2 </w:t>
      </w:r>
      <w:r>
        <w:rPr>
          <w:rFonts w:ascii="Arial" w:hAnsi="Arial"/>
          <w:color w:val="000000"/>
          <w:sz w:val="24"/>
          <w:u w:val="single"/>
        </w:rPr>
        <w:t>Scope of Restrictions</w:t>
      </w:r>
      <w:r>
        <w:rPr>
          <w:rFonts w:ascii="Arial" w:hAnsi="Arial"/>
          <w:color w:val="000000"/>
          <w:sz w:val="24"/>
        </w:rPr>
        <w:t>. Employee acknowledges and represents that the scope of the restrictions contained in this Agreement are appropriate, necessary and reasonable, and are solely for the protection of the Company’s business, goodwill and property rights.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9.</w:t>
      </w:r>
    </w:p>
    <w:p>
      <w:pPr>
        <w:pStyle w:val="TextBody"/>
        <w:bidi w:val="0"/>
        <w:spacing w:before="0" w:after="240"/>
        <w:jc w:val="both"/>
        <w:rPr/>
      </w:pPr>
      <w:r>
        <w:rPr>
          <w:rFonts w:ascii="Arial" w:hAnsi="Arial"/>
          <w:color w:val="000000"/>
          <w:sz w:val="24"/>
          <w:u w:val="single"/>
        </w:rPr>
        <w:t>Return of Materials at Termination</w:t>
      </w:r>
      <w:r>
        <w:rPr>
          <w:rFonts w:ascii="Arial" w:hAnsi="Arial"/>
          <w:color w:val="000000"/>
          <w:sz w:val="24"/>
        </w:rPr>
        <w:t>. Immediately upon the separation of Employee’s employment for any reason, Employee will deliver to Company all documents, data, and other information pertaining to the Company’s business, clients, suppliers, products or services, and any other Confidential Information or Trade Secrets that Employee has in his/her possession or under his/her control; and Employee shall not remove (either physically or electronically) any such documents or information from Company premises or computers.</w:t>
      </w:r>
    </w:p>
    <w:p>
      <w:pPr>
        <w:pStyle w:val="TextBody"/>
        <w:bidi w:val="0"/>
        <w:spacing w:before="0" w:after="0"/>
        <w:jc w:val="both"/>
        <w:rPr>
          <w:rFonts w:ascii="Arial" w:hAnsi="Arial"/>
          <w:color w:val="000000"/>
          <w:sz w:val="24"/>
        </w:rPr>
      </w:pPr>
      <w:r>
        <w:rPr>
          <w:rFonts w:ascii="Arial" w:hAnsi="Arial"/>
          <w:color w:val="000000"/>
          <w:sz w:val="24"/>
        </w:rPr>
        <w:t>10.</w:t>
      </w:r>
    </w:p>
    <w:p>
      <w:pPr>
        <w:pStyle w:val="TextBody"/>
        <w:bidi w:val="0"/>
        <w:jc w:val="both"/>
        <w:rPr/>
      </w:pPr>
      <w:r>
        <w:rPr>
          <w:rFonts w:ascii="Arial" w:hAnsi="Arial"/>
          <w:color w:val="000000"/>
          <w:sz w:val="24"/>
          <w:u w:val="single"/>
        </w:rPr>
        <w:t>Cooperation.</w:t>
      </w:r>
      <w:r>
        <w:rPr>
          <w:color w:val="000000"/>
        </w:rPr>
        <w:t xml:space="preserve"> </w:t>
      </w:r>
      <w:r>
        <w:rPr>
          <w:rFonts w:ascii="Arial" w:hAnsi="Arial"/>
          <w:color w:val="000000"/>
          <w:sz w:val="24"/>
        </w:rPr>
        <w:t xml:space="preserve">During Employee’s employment, Employee will gain knowledge of specific projects and issues related to Company’s business. Employee agrees to cooperate with the Company, after termination, in any threatened or pending litigation against the Company related to issues with which Employee became familiar. The Company agrees to provide Employee with reasonable compensation for Employee’s time in providing cooperation and assistance. Nothing in this provision should be interpreted to require anything other than Employee’s honest and complete information regarding such matters. </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11.</w:t>
      </w:r>
    </w:p>
    <w:p>
      <w:pPr>
        <w:pStyle w:val="TextBody"/>
        <w:bidi w:val="0"/>
        <w:spacing w:before="0" w:after="240"/>
        <w:jc w:val="both"/>
        <w:rPr/>
      </w:pPr>
      <w:r>
        <w:rPr>
          <w:rFonts w:ascii="Arial" w:hAnsi="Arial"/>
          <w:color w:val="000000"/>
          <w:sz w:val="24"/>
          <w:u w:val="single"/>
        </w:rPr>
        <w:t>Remedies for Breach</w:t>
      </w:r>
      <w:r>
        <w:rPr>
          <w:rFonts w:ascii="Arial" w:hAnsi="Arial"/>
          <w:color w:val="000000"/>
          <w:sz w:val="24"/>
        </w:rPr>
        <w:t xml:space="preserve">. </w:t>
      </w:r>
    </w:p>
    <w:p>
      <w:pPr>
        <w:pStyle w:val="TextBody"/>
        <w:bidi w:val="0"/>
        <w:jc w:val="left"/>
        <w:rPr>
          <w:rFonts w:ascii="Times New Roman" w:hAnsi="Times New Roman"/>
          <w:sz w:val="20"/>
        </w:rPr>
      </w:pPr>
      <w:r>
        <w:rPr>
          <w:rFonts w:ascii="Times New Roman" w:hAnsi="Times New Roman"/>
          <w:color w:val="000000"/>
          <w:sz w:val="24"/>
          <w:u w:val="single"/>
        </w:rPr>
        <w:t>Injunctive Relief.</w:t>
      </w:r>
      <w:r>
        <w:rPr>
          <w:rFonts w:ascii="Times New Roman" w:hAnsi="Times New Roman"/>
          <w:color w:val="000000"/>
          <w:sz w:val="20"/>
        </w:rPr>
        <w:t xml:space="preserve"> </w:t>
      </w:r>
      <w:r>
        <w:rPr>
          <w:rFonts w:ascii="Times New Roman" w:hAnsi="Times New Roman"/>
          <w:color w:val="000000"/>
          <w:sz w:val="24"/>
        </w:rPr>
        <w:t>Employee acknowledges that any breach of this Agreement will cause irreparable injury to the Company. Accordingly, in the event of such breach or an impending breach, the Company shall be entitled to obtain injunctive and other equitable relief from a court in addition to, and not in lieu of, the right to seek liquidated or actual damages and any other right or remedy afforded to the Company by law or otherwise.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 xml:space="preserve">11.2. </w:t>
      </w:r>
      <w:r>
        <w:rPr>
          <w:rFonts w:ascii="Arial" w:hAnsi="Arial"/>
          <w:color w:val="000000"/>
          <w:sz w:val="24"/>
          <w:u w:val="single"/>
        </w:rPr>
        <w:t>Liquidated Damages.</w:t>
      </w:r>
      <w:r>
        <w:rPr>
          <w:rFonts w:ascii="Times New Roman" w:hAnsi="Times New Roman"/>
          <w:color w:val="000000"/>
          <w:sz w:val="20"/>
        </w:rPr>
        <w:t xml:space="preserve"> </w:t>
      </w:r>
      <w:r>
        <w:rPr>
          <w:rFonts w:ascii="Arial" w:hAnsi="Arial"/>
          <w:color w:val="000000"/>
          <w:sz w:val="24"/>
        </w:rPr>
        <w:t>Due to the difficulty of quantifying and proving actual damages, in the event of Employee’s breach of his/her obligations not to use or disclose Confidential Information or Trade Secrets as provided in paragraph 3, or Employee’s breach of the Post-Employment Restrictions in paragraph 8, the Company shall be entitled to liquidated damages in the amount of Five Thousand Dollars ($5,000.00) for each such use, disclosure, or prohibited action. Notwithstanding the right to liquidated damages, the Company has the right to take any measures available and to claim and receive a higher amount of compensation if the Company can prove that the actual damage sustained will exceed the amount of liquidated damages.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11.3 </w:t>
      </w:r>
      <w:r>
        <w:rPr>
          <w:rFonts w:ascii="Arial" w:hAnsi="Arial"/>
          <w:color w:val="000000"/>
          <w:sz w:val="24"/>
          <w:u w:val="single"/>
        </w:rPr>
        <w:t>Attorneys’ Fees.</w:t>
      </w:r>
      <w:r>
        <w:rPr>
          <w:rFonts w:ascii="Times New Roman" w:hAnsi="Times New Roman"/>
          <w:color w:val="000000"/>
          <w:sz w:val="20"/>
        </w:rPr>
        <w:t xml:space="preserve"> </w:t>
      </w:r>
      <w:r>
        <w:rPr>
          <w:rFonts w:ascii="Arial" w:hAnsi="Arial"/>
          <w:color w:val="000000"/>
          <w:sz w:val="24"/>
        </w:rPr>
        <w:t>In the event of any litigation concerning any controversy, claim or dispute between Employee and the Company arising out of or relating to this Agreement, the prevailing party shall be entitled to recover from the losing party reasonable expenses, attorneys’ fees, and costs incurred therein or in the enforcement or collection of any judgment or award rendered therein. The “prevailing party” means the party determined by the court to have prevailed, even if such party did not prevail in all matters, not necessarily the one in whose favor a judgment is rendered. Further, in the event of any default by a party under this Agreement, such defaulting party shall pay all the expenses and attorneys’ fees incurred by the other party in connection with such default, whether or not any litigation is commenced. This provision is intended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to benefit the parties to this Agreement, and is not intended to create rights for any third parties.</w:t>
      </w:r>
    </w:p>
    <w:p>
      <w:pPr>
        <w:pStyle w:val="TextBody"/>
        <w:bidi w:val="0"/>
        <w:spacing w:before="0" w:after="0"/>
        <w:jc w:val="both"/>
        <w:rPr>
          <w:rFonts w:ascii="Arial" w:hAnsi="Arial"/>
          <w:color w:val="000000"/>
          <w:sz w:val="24"/>
        </w:rPr>
      </w:pPr>
      <w:r>
        <w:rPr>
          <w:rFonts w:ascii="Arial" w:hAnsi="Arial"/>
          <w:color w:val="000000"/>
          <w:sz w:val="24"/>
        </w:rPr>
        <w:t>12.</w:t>
      </w:r>
    </w:p>
    <w:p>
      <w:pPr>
        <w:pStyle w:val="TextBody"/>
        <w:bidi w:val="0"/>
        <w:jc w:val="both"/>
        <w:rPr/>
      </w:pPr>
      <w:r>
        <w:rPr>
          <w:rFonts w:ascii="Arial" w:hAnsi="Arial"/>
          <w:color w:val="000000"/>
          <w:sz w:val="24"/>
          <w:u w:val="single"/>
        </w:rPr>
        <w:t>Severability</w:t>
      </w:r>
      <w:r>
        <w:rPr>
          <w:rFonts w:ascii="Arial" w:hAnsi="Arial"/>
          <w:color w:val="000000"/>
          <w:sz w:val="24"/>
        </w:rPr>
        <w:t xml:space="preserve">. Employee expressly acknowledges that he/she has carefully read all of the terms of this Agreement and agrees that the Company has been induced to enter into its relationship with Employee upon Employee’s representations that he/she will abide and be bound by each of the terms and that each term is reasonable in its scope and duration. If for any reason any portion of this Agreement shall be held by a court of competent jurisdiction to be invalid or unenforceable, Employee agrees that the remaining portions of this Agreement shall remain in full force and effect and that, upon the request of the Company, the court shall construe any invalid or unenforceable portions in the manner that most closely reflects the effect and intent of the original language. </w:t>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13.</w:t>
      </w:r>
    </w:p>
    <w:p>
      <w:pPr>
        <w:pStyle w:val="TextBody"/>
        <w:bidi w:val="0"/>
        <w:spacing w:before="0" w:after="240"/>
        <w:jc w:val="both"/>
        <w:rPr/>
      </w:pPr>
      <w:r>
        <w:rPr>
          <w:rFonts w:ascii="Arial" w:hAnsi="Arial"/>
          <w:color w:val="000000"/>
          <w:sz w:val="24"/>
          <w:u w:val="single"/>
        </w:rPr>
        <w:t>Entire Agreement</w:t>
      </w:r>
      <w:r>
        <w:rPr>
          <w:rFonts w:ascii="Arial" w:hAnsi="Arial"/>
          <w:color w:val="000000"/>
          <w:sz w:val="24"/>
        </w:rPr>
        <w:t xml:space="preserve">. This Agreement sets forth the entire agreement of the parties regarding the subject matter described herein and may be amended only by a written document signed by Employee and an authorized representative of the Company. </w:t>
      </w:r>
    </w:p>
    <w:p>
      <w:pPr>
        <w:pStyle w:val="TextBody"/>
        <w:bidi w:val="0"/>
        <w:spacing w:before="0" w:after="240"/>
        <w:jc w:val="both"/>
        <w:rPr>
          <w:rFonts w:ascii="Arial" w:hAnsi="Arial"/>
          <w:color w:val="000000"/>
          <w:sz w:val="24"/>
        </w:rPr>
      </w:pPr>
      <w:r>
        <w:rPr>
          <w:rFonts w:ascii="Arial" w:hAnsi="Arial"/>
          <w:color w:val="000000"/>
          <w:sz w:val="24"/>
        </w:rPr>
        <w:t>14.</w:t>
      </w:r>
    </w:p>
    <w:p>
      <w:pPr>
        <w:pStyle w:val="TextBody"/>
        <w:bidi w:val="0"/>
        <w:spacing w:before="0" w:after="240"/>
        <w:jc w:val="both"/>
        <w:rPr/>
      </w:pPr>
      <w:r>
        <w:rPr>
          <w:rFonts w:ascii="Arial" w:hAnsi="Arial"/>
          <w:color w:val="000000"/>
          <w:sz w:val="24"/>
          <w:u w:val="single"/>
        </w:rPr>
        <w:t>Successors and Assigns</w:t>
      </w:r>
      <w:r>
        <w:rPr>
          <w:rFonts w:ascii="Arial" w:hAnsi="Arial"/>
          <w:color w:val="000000"/>
          <w:sz w:val="24"/>
        </w:rPr>
        <w:t>. This Agreement shall inure to the benefit of the Company and its successors and assigns and is binding upon Employee’s heirs and legal representatives. Employee may not assign any of Employee’s rights or obligations under this Agreement.</w:t>
      </w:r>
    </w:p>
    <w:p>
      <w:pPr>
        <w:pStyle w:val="TextBody"/>
        <w:bidi w:val="0"/>
        <w:spacing w:before="0" w:after="240"/>
        <w:jc w:val="both"/>
        <w:rPr>
          <w:rFonts w:ascii="Arial" w:hAnsi="Arial"/>
          <w:color w:val="000000"/>
          <w:sz w:val="24"/>
        </w:rPr>
      </w:pPr>
      <w:r>
        <w:rPr>
          <w:rFonts w:ascii="Arial" w:hAnsi="Arial"/>
          <w:color w:val="000000"/>
          <w:sz w:val="24"/>
        </w:rPr>
        <w:t>15.</w:t>
      </w:r>
    </w:p>
    <w:p>
      <w:pPr>
        <w:pStyle w:val="TextBody"/>
        <w:bidi w:val="0"/>
        <w:spacing w:before="0" w:after="240"/>
        <w:jc w:val="both"/>
        <w:rPr/>
      </w:pPr>
      <w:r>
        <w:rPr>
          <w:rFonts w:ascii="Arial" w:hAnsi="Arial"/>
          <w:color w:val="000000"/>
          <w:sz w:val="24"/>
          <w:u w:val="single"/>
        </w:rPr>
        <w:t>Choice of Law.</w:t>
      </w:r>
      <w:r>
        <w:rPr>
          <w:color w:val="000000"/>
        </w:rPr>
        <w:t xml:space="preserve"> </w:t>
      </w:r>
      <w:r>
        <w:rPr>
          <w:rFonts w:ascii="Arial" w:hAnsi="Arial"/>
          <w:color w:val="000000"/>
          <w:sz w:val="24"/>
        </w:rPr>
        <w:t>This Agreement shall be interpreted, construed, and enforced in accordance with the laws of the State of California without reference to its choice of law principles. Employee hereby irrevocably consents to the jurisdiction of the courts of the State of California with venue in San Diego County and of the United States District Court for the Southern District of California.</w:t>
      </w:r>
    </w:p>
    <w:p>
      <w:pPr>
        <w:pStyle w:val="TextBody"/>
        <w:bidi w:val="0"/>
        <w:spacing w:before="0" w:after="240"/>
        <w:jc w:val="both"/>
        <w:rPr>
          <w:rFonts w:ascii="Arial" w:hAnsi="Arial"/>
          <w:color w:val="000000"/>
          <w:sz w:val="24"/>
        </w:rPr>
      </w:pPr>
      <w:r>
        <w:rPr>
          <w:rFonts w:ascii="Arial" w:hAnsi="Arial"/>
          <w:color w:val="000000"/>
          <w:sz w:val="24"/>
        </w:rPr>
        <w:t>16.</w:t>
      </w:r>
    </w:p>
    <w:p>
      <w:pPr>
        <w:pStyle w:val="TextBody"/>
        <w:bidi w:val="0"/>
        <w:spacing w:before="0" w:after="240"/>
        <w:jc w:val="both"/>
        <w:rPr/>
      </w:pPr>
      <w:r>
        <w:rPr>
          <w:rFonts w:ascii="Arial" w:hAnsi="Arial"/>
          <w:color w:val="000000"/>
          <w:sz w:val="24"/>
          <w:u w:val="single"/>
        </w:rPr>
        <w:t>Waiver</w:t>
      </w:r>
      <w:r>
        <w:rPr>
          <w:rFonts w:ascii="Arial" w:hAnsi="Arial"/>
          <w:color w:val="000000"/>
          <w:sz w:val="24"/>
        </w:rPr>
        <w:t>. The Company’s failure to enforce any provision of the Agreement shall not in any way be construed as a waiver of any such provision nor shall it prevent the Company thereafter from enforcing each and every provision of this Agreement.</w:t>
      </w:r>
    </w:p>
    <w:p>
      <w:pPr>
        <w:pStyle w:val="TextBody"/>
        <w:bidi w:val="0"/>
        <w:spacing w:before="0" w:after="240"/>
        <w:jc w:val="both"/>
        <w:rPr>
          <w:rFonts w:ascii="Arial" w:hAnsi="Arial"/>
          <w:color w:val="000000"/>
          <w:sz w:val="24"/>
        </w:rPr>
      </w:pPr>
      <w:r>
        <w:rPr>
          <w:rFonts w:ascii="Arial" w:hAnsi="Arial"/>
          <w:color w:val="000000"/>
          <w:sz w:val="24"/>
        </w:rPr>
        <w:t>17.</w:t>
      </w:r>
    </w:p>
    <w:p>
      <w:pPr>
        <w:pStyle w:val="TextBody"/>
        <w:bidi w:val="0"/>
        <w:spacing w:before="0" w:after="240"/>
        <w:jc w:val="both"/>
        <w:rPr/>
      </w:pPr>
      <w:r>
        <w:rPr>
          <w:rFonts w:ascii="Arial" w:hAnsi="Arial"/>
          <w:color w:val="000000"/>
          <w:sz w:val="24"/>
          <w:u w:val="single"/>
        </w:rPr>
        <w:t>Acknowledgments</w:t>
      </w:r>
      <w:r>
        <w:rPr>
          <w:rFonts w:ascii="Arial" w:hAnsi="Arial"/>
          <w:color w:val="000000"/>
          <w:sz w:val="24"/>
        </w:rPr>
        <w:t>. Employee acknowledges that this Agreement is not an employment contract and that both the Company and employee are free to terminate their employment relationship at-will, with or without notice or cause.</w:t>
      </w:r>
    </w:p>
    <w:p>
      <w:pPr>
        <w:pStyle w:val="TextBody"/>
        <w:bidi w:val="0"/>
        <w:spacing w:before="0" w:after="240"/>
        <w:jc w:val="both"/>
        <w:rPr>
          <w:rFonts w:ascii="Arial" w:hAnsi="Arial"/>
          <w:color w:val="000000"/>
          <w:sz w:val="24"/>
        </w:rPr>
      </w:pPr>
      <w:r>
        <w:rPr>
          <w:rFonts w:ascii="Arial" w:hAnsi="Arial"/>
          <w:color w:val="000000"/>
          <w:sz w:val="24"/>
        </w:rPr>
        <w:t>18.</w:t>
      </w:r>
    </w:p>
    <w:p>
      <w:pPr>
        <w:pStyle w:val="TextBody"/>
        <w:bidi w:val="0"/>
        <w:spacing w:before="0" w:after="240"/>
        <w:jc w:val="both"/>
        <w:rPr/>
      </w:pPr>
      <w:r>
        <w:rPr>
          <w:rFonts w:ascii="Arial" w:hAnsi="Arial"/>
          <w:color w:val="000000"/>
          <w:sz w:val="24"/>
          <w:u w:val="single"/>
        </w:rPr>
        <w:t>Counterparts.</w:t>
      </w:r>
      <w:r>
        <w:rPr>
          <w:color w:val="000000"/>
        </w:rPr>
        <w:t xml:space="preserve"> </w:t>
      </w:r>
      <w:r>
        <w:rPr>
          <w:rFonts w:ascii="Arial" w:hAnsi="Arial"/>
          <w:color w:val="000000"/>
          <w:sz w:val="24"/>
        </w:rPr>
        <w:t xml:space="preserve">This Agreement may be executed in counterparts and shall be binding on all parties when each has signed either an original or copy of this Agreement.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THE PARTIES, HAVING READ THIS AGREEMENT AND UNDERSTANDING ITS TERMS, HEREBY AGREE TO BE LEGALLY BOUND BY ITS PROVISIONS.</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EQUITY TERMS</w:t>
      </w:r>
    </w:p>
    <w:tbl>
      <w:tblPr>
        <w:tblW w:w="10205" w:type="dxa"/>
        <w:jc w:val="left"/>
        <w:tblInd w:w="0" w:type="dxa"/>
        <w:tblLayout w:type="fixed"/>
        <w:tblCellMar>
          <w:top w:w="28" w:type="dxa"/>
          <w:left w:w="28" w:type="dxa"/>
          <w:bottom w:w="28" w:type="dxa"/>
          <w:right w:w="28" w:type="dxa"/>
        </w:tblCellMar>
      </w:tblPr>
      <w:tblGrid>
        <w:gridCol w:w="3961"/>
        <w:gridCol w:w="6244"/>
      </w:tblGrid>
      <w:tr>
        <w:trPr/>
        <w:tc>
          <w:tcPr>
            <w:tcW w:w="3961" w:type="dxa"/>
            <w:tcBorders/>
            <w:vAlign w:val="center"/>
          </w:tcPr>
          <w:p>
            <w:pPr>
              <w:pStyle w:val="TableContents"/>
              <w:bidi w:val="0"/>
              <w:spacing w:before="0" w:after="283"/>
              <w:jc w:val="left"/>
              <w:rPr>
                <w:sz w:val="4"/>
                <w:szCs w:val="4"/>
              </w:rPr>
            </w:pPr>
            <w:r>
              <w:rPr>
                <w:sz w:val="4"/>
                <w:szCs w:val="4"/>
              </w:rPr>
            </w:r>
          </w:p>
        </w:tc>
        <w:tc>
          <w:tcPr>
            <w:tcW w:w="6244" w:type="dxa"/>
            <w:tcBorders/>
            <w:vAlign w:val="center"/>
          </w:tcPr>
          <w:p>
            <w:pPr>
              <w:pStyle w:val="TableContents"/>
              <w:bidi w:val="0"/>
              <w:spacing w:before="0" w:after="283"/>
              <w:jc w:val="left"/>
              <w:rPr>
                <w:sz w:val="4"/>
                <w:szCs w:val="4"/>
              </w:rPr>
            </w:pPr>
            <w:r>
              <w:rPr>
                <w:sz w:val="4"/>
                <w:szCs w:val="4"/>
              </w:rPr>
            </w:r>
          </w:p>
        </w:tc>
      </w:tr>
      <w:tr>
        <w:trPr/>
        <w:tc>
          <w:tcPr>
            <w:tcW w:w="39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Type of Award</w:t>
              <w:br/>
              <w:t>(“Award”)</w:t>
            </w:r>
          </w:p>
        </w:tc>
        <w:tc>
          <w:tcPr>
            <w:tcW w:w="624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An incentive stock option grant pursuant to Section 422(b) of the Internal Revenue Code</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Executive’s Award to equal 800,000 shares. </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200,000 shares granted on February 17, 2026</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600,000 shares granted on March 31, 2026</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Award is evidenced by agreement executed by Executive and the Company.</w:t>
            </w:r>
          </w:p>
        </w:tc>
      </w:tr>
      <w:tr>
        <w:trPr/>
        <w:tc>
          <w:tcPr>
            <w:tcW w:w="3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Vesting of Award</w:t>
            </w:r>
          </w:p>
        </w:tc>
        <w:tc>
          <w:tcPr>
            <w:tcW w:w="6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25% vest one year after date of grant and the remainder vest in monthly equal amounts over 36 months beginning one year and one month after date of grant</w:t>
            </w:r>
          </w:p>
        </w:tc>
      </w:tr>
      <w:tr>
        <w:trPr/>
        <w:tc>
          <w:tcPr>
            <w:tcW w:w="3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Termination of Service for Cause, resignation with/without Cause, death &amp; disability, etc.</w:t>
            </w:r>
          </w:p>
        </w:tc>
        <w:tc>
          <w:tcPr>
            <w:tcW w:w="6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4"/>
              </w:rPr>
            </w:pPr>
            <w:r>
              <w:rPr>
                <w:rFonts w:ascii="Times New Roman" w:hAnsi="Times New Roman"/>
                <w:color w:val="000000"/>
                <w:sz w:val="24"/>
              </w:rPr>
              <w:t xml:space="preserve">ninety (90) days following the date of the Executive’s termination of employment with the Company and its Affiliates for any reason other than for Cause or due to the Executive’s death or Disability; </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4"/>
              </w:rPr>
            </w:pPr>
            <w:r>
              <w:rPr>
                <w:rFonts w:ascii="Times New Roman" w:hAnsi="Times New Roman"/>
                <w:color w:val="000000"/>
                <w:sz w:val="24"/>
              </w:rPr>
              <w:t>six (6) months following the date of the Executive’s termination of employment with the Company and its Affiliates due to the Executive’s death or Disability.</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entire Award (whether vested or unvested) held by the Executive immediately prior to the cessation of the Executive’s employment shall immediately terminate upon such cessation if such cessation of employment was for Cause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1" w:name="crdf-ex10_3.htm"/>
      <w:bookmarkStart w:id="42" w:name="kscrdfex10_3"/>
      <w:bookmarkEnd w:id="41"/>
      <w:bookmarkEnd w:id="42"/>
      <w:r>
        <w:rPr>
          <w:rFonts w:ascii="Times New Roman" w:hAnsi="Times New Roman"/>
          <w:color w:val="000000"/>
          <w:sz w:val="24"/>
        </w:rPr>
        <w:t>Exhibit 10.3</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xml:space="preserve">) is made and entered into effective as of </w:t>
      </w:r>
      <w:r>
        <w:rPr>
          <w:rFonts w:ascii="Times New Roman" w:hAnsi="Times New Roman"/>
          <w:b/>
          <w:color w:val="000000"/>
          <w:sz w:val="24"/>
        </w:rPr>
        <w:t>August 10, 2026</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Joshua Muntner</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and Cardiff Oncology,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R E C I T A L 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desires to employ Executive, and Executive desires to be employed by the Company, in each case effective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in connection with the foregoing, Executive shall be required to perform Executive’s duties and obligations hereunder on behalf of the Company, as appropriate, and such duties and obligations shall be enforceable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this Agreement supersedes any and all prior term sheets, employment agreements or similar agreements by and between Executive and the Company.</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consideration of the mutual covenants herein contained and the employment of Executive by the Company,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Definition of Terms</w:t>
      </w:r>
      <w:r>
        <w:rPr>
          <w:rFonts w:ascii="Times New Roman" w:hAnsi="Times New Roman"/>
          <w:color w:val="000000"/>
          <w:sz w:val="24"/>
        </w:rPr>
        <w:t>. The following terms referred to in this Agreement shall have the following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color w:val="000000"/>
        </w:rPr>
      </w:pPr>
      <w:r>
        <w:rPr>
          <w:color w:val="000000"/>
        </w:rPr>
        <w:t>“</w:t>
      </w:r>
      <w:r>
        <w:rPr>
          <w:rFonts w:ascii="Times New Roman" w:hAnsi="Times New Roman"/>
          <w:color w:val="000000"/>
          <w:sz w:val="24"/>
        </w:rPr>
        <w:t>Cause” shall mean the occurrence of any of the following, as determined by the Board in its sole discretion: (i) Executive’s failure to substantially perform Executive’s duties with the Company (other than any such failure resulting from Executive’s disability); (ii) Executive’s failure to comply, in any material respect, with any of the Company’s policies or the Confidentiality and Non-Disclosure Agreement; (iii) the Board’s determination that Executive failed in any material respect to carry out or comply with any lawful and reasonable directive of the Board; (iv) Executive’s conviction, plea of no contest, or plea of nolo contendere for any felony or crime involving moral turpitude; (v) Executive’s unlawful use or possession of illegal drugs on the Company’s or any affiliate’s premises; or (vi) Executive’s commission of an act of fraud, embezzlement, misappropriation, willful misconduct, or breach of fiduciary duty against the Company or any of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color w:val="000000"/>
        </w:rPr>
      </w:pPr>
      <w:r>
        <w:rPr>
          <w:color w:val="000000"/>
        </w:rPr>
        <w:t>“</w:t>
      </w:r>
      <w:r>
        <w:rPr>
          <w:rFonts w:ascii="Times New Roman" w:hAnsi="Times New Roman"/>
          <w:color w:val="000000"/>
          <w:sz w:val="24"/>
        </w:rPr>
        <w:t>Change of Control” shall have the same meaning as “Change in Control” under the Company’s equity incentive plan, as in effect on the date hereof, and shall be deemed to occur only upon the actual consummation of a Change in Control as so defined. For the avoidance of doubt, a Change of Control shall not be deemed to occur as a result of any pending, proposed, or contemplated transaction unless and until a Change of Control has actually occurred pursuant to the equity plan, and no Change of Control shall be deemed to occur for purposes of this Agreement unless such event also constitutes a change in control event within the meaning of Section 409A of the Internal Revenue Code, to the extent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means totally and permanently disabled as defined in the Company’s disability benefit plan applicable to senior executive officers as in effect on the date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color w:val="000000"/>
        </w:rPr>
      </w:pPr>
      <w:r>
        <w:rPr>
          <w:color w:val="000000"/>
        </w:rPr>
        <w:t>“</w:t>
      </w:r>
      <w:r>
        <w:rPr>
          <w:rFonts w:ascii="Times New Roman" w:hAnsi="Times New Roman"/>
          <w:color w:val="000000"/>
          <w:sz w:val="24"/>
        </w:rPr>
        <w:t>Good Reason” shall mean, without Executive’s express written consent, any of the following: (i) a material reduction of Executive’s duties, position or responsibilities; (ii) a reduction of Executive’s compensation, unless such reduction is the result of Company financial difficulties and/or is part of a Company-wide reduction of compensation of similarly situated Company employees; (iii) the relocation of Executive to a facility or location more than fifty (50) miles from Executive’s then current employment location; or (iv) a material breach by the Company of any agreement with Executive. In order for Executive to resign for Good Reason, within sixty (60) days after Executive first learns of the applicable event, Executive is required to give written notice of the event constituting Good Reason. This notice will trigger a thirty (30) day cure period. If the Company fails to cure this Good Reason event within thirty (30) days from the date of the written notice, Executive must resign from Executive’s employment within sixty (60) days from the end of the thirty (30) day cure period. Determination of whether Executive had Good Reason, and if so whether the Good Reason event was cured, shall be in the sole discretion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Duties and Scope of Position</w:t>
      </w:r>
      <w:r>
        <w:rPr>
          <w:rFonts w:ascii="Times New Roman" w:hAnsi="Times New Roman"/>
          <w:color w:val="000000"/>
          <w:sz w:val="24"/>
        </w:rPr>
        <w:t xml:space="preserve">. During the Term (as defined below), Executive will serve as </w:t>
      </w:r>
      <w:r>
        <w:rPr>
          <w:rFonts w:ascii="Times New Roman" w:hAnsi="Times New Roman"/>
          <w:b/>
          <w:color w:val="000000"/>
          <w:sz w:val="24"/>
        </w:rPr>
        <w:t>Chief Financial Officer</w:t>
      </w:r>
      <w:r>
        <w:rPr>
          <w:color w:val="000000"/>
        </w:rPr>
        <w:t xml:space="preserve"> </w:t>
      </w:r>
      <w:r>
        <w:rPr>
          <w:rFonts w:ascii="Times New Roman" w:hAnsi="Times New Roman"/>
          <w:color w:val="000000"/>
          <w:sz w:val="24"/>
        </w:rPr>
        <w:t xml:space="preserve">of the Company, reporting to the Chief Executive Officer of the Company, and assuming and discharging such responsibilities as are commensurate with Executive’s position. During the Term, Executive will provide services in a manner that will faithfully and diligently further the business of the Company and will devote a substantial portion of Executive’s business time, attention and energy thereto. Notwithstanding the foregoing, nothing in this Agreement shall restrict Executive from managing Executive’s personal investments, or serving on civic or charitable boards or committees, provided that no such activities unduly interfere, individually or in the aggregate, with the performance of Executive’s obligations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xml:space="preserve">. The term of Executive’s employment under this Agreement shall commence as of the Effective Date and shall continue until August 10, 2029, unless earlier terminated in accordance with Section 9 hereof. The term of Executive’s employment shall be automatically renewed for successive one (1) year periods until the Executive or the Company delivers to the other party a written notice of their intent not to renew such employment, such written notice to be delivered at least sixty (60) days prior to the expiration of the then-effective Term as that term is defined below. The period commencing as of the Effective Date and ending on Executive’s last date of employment with the Company under this Agreement is the “Term” and the end of the Term is referred to herein as the “Expiration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Base Compensation</w:t>
      </w:r>
      <w:r>
        <w:rPr>
          <w:rFonts w:ascii="Times New Roman" w:hAnsi="Times New Roman"/>
          <w:color w:val="000000"/>
          <w:sz w:val="24"/>
        </w:rPr>
        <w:t>. The Company shall pay to Executive a base compensation (the “</w:t>
      </w:r>
      <w:r>
        <w:rPr>
          <w:rFonts w:ascii="Times New Roman" w:hAnsi="Times New Roman"/>
          <w:color w:val="000000"/>
          <w:sz w:val="24"/>
          <w:u w:val="single"/>
        </w:rPr>
        <w:t>Base Compensation</w:t>
      </w:r>
      <w:r>
        <w:rPr>
          <w:color w:val="000000"/>
        </w:rPr>
        <w:t>”</w:t>
      </w:r>
      <w:r>
        <w:rPr>
          <w:rFonts w:ascii="Times New Roman" w:hAnsi="Times New Roman"/>
          <w:color w:val="000000"/>
          <w:sz w:val="24"/>
        </w:rPr>
        <w:t xml:space="preserve">) of $475,000 per year (prorated for any partial year), payable at such times as the Company customarily pays its other senior executives (but in any event no less often than monthly). In addition, each year during the Term, Executive shall be reviewed for purposes of determining the appropriateness of Executive’s Base Compensation hereunder. The Base Compensation shall be subject to all federal, state and local payroll tax withholding and any other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withholdings required by law. For purposes of the Agreement, the term “</w:t>
      </w:r>
      <w:r>
        <w:rPr>
          <w:rFonts w:ascii="Times New Roman" w:hAnsi="Times New Roman"/>
          <w:color w:val="000000"/>
          <w:sz w:val="24"/>
          <w:u w:val="single"/>
        </w:rPr>
        <w:t>Base Compensation</w:t>
      </w:r>
      <w:r>
        <w:rPr>
          <w:color w:val="000000"/>
        </w:rPr>
        <w:t xml:space="preserve">” </w:t>
      </w:r>
      <w:r>
        <w:rPr>
          <w:rFonts w:ascii="Times New Roman" w:hAnsi="Times New Roman"/>
          <w:color w:val="000000"/>
          <w:sz w:val="24"/>
        </w:rPr>
        <w:t>as of any point in time shall refer to the Base Compensation as adjusted pursuant to this Section 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Benefits; Expense Reimbursement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Benefits</w:t>
      </w:r>
      <w:r>
        <w:rPr>
          <w:rFonts w:ascii="Times New Roman" w:hAnsi="Times New Roman"/>
          <w:color w:val="000000"/>
          <w:sz w:val="24"/>
        </w:rPr>
        <w:t>. During the Term, Executive shall be entitled to participate in all company employee benefit plans. In the event Executive elects to pay to a self-funded health insurance program, Executive shall be reimbursed by the Company for such costs up to the maximum amount the Company would be obligated to pay for similar benefits pursuant to its health insurance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During the Term, the Company shall promptly reimburse Executive for all expenses reasonably and necessarily incurred by Executive in connection with the business of the Company, consistent with Company policies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Target Bonus. In addition to Executive’s Base Compensation, Executive shall be eligible for an annual bonus opportunity of up to 40% of Base Compensation, with performance milestones for each fiscal year to be determined by the Board or its compensation committee in its sole discretion. Except as otherwise expressly provided in this Agreement in section 10, Executive must be actively employed by the Company at the time the applicable bonus is paid in order to be eligible to receive any bonus. The determinations of the Board or its compensation committee with respect to bonuses will be final and binding.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Equity Award</w:t>
      </w:r>
      <w:r>
        <w:rPr>
          <w:rFonts w:ascii="Times New Roman" w:hAnsi="Times New Roman"/>
          <w:color w:val="000000"/>
          <w:sz w:val="24"/>
        </w:rPr>
        <w:t>. Executive has been granted an equity-based compensation award (“</w:t>
      </w:r>
      <w:r>
        <w:rPr>
          <w:rFonts w:ascii="Times New Roman" w:hAnsi="Times New Roman"/>
          <w:color w:val="000000"/>
          <w:sz w:val="24"/>
          <w:u w:val="single"/>
        </w:rPr>
        <w:t>Award</w:t>
      </w:r>
      <w:r>
        <w:rPr>
          <w:color w:val="000000"/>
        </w:rPr>
        <w:t>”</w:t>
      </w:r>
      <w:r>
        <w:rPr>
          <w:rFonts w:ascii="Times New Roman" w:hAnsi="Times New Roman"/>
          <w:color w:val="000000"/>
          <w:sz w:val="24"/>
        </w:rPr>
        <w:t xml:space="preserve">) in accordance with </w:t>
      </w:r>
      <w:r>
        <w:rPr>
          <w:rFonts w:ascii="Times New Roman" w:hAnsi="Times New Roman"/>
          <w:color w:val="000000"/>
          <w:sz w:val="24"/>
          <w:u w:val="single"/>
        </w:rPr>
        <w:t>Exhibit C</w:t>
      </w:r>
      <w:r>
        <w:rPr>
          <w:color w:val="000000"/>
        </w:rPr>
        <w:t xml:space="preserve"> </w:t>
      </w:r>
      <w:r>
        <w:rPr>
          <w:rFonts w:ascii="Times New Roman" w:hAnsi="Times New Roman"/>
          <w:color w:val="000000"/>
          <w:sz w:val="24"/>
        </w:rPr>
        <w:t>attached hereto. Upon termination of Executive’s employment, the treatment of any portion of outstanding Award shall be determined in accordance with the terms of any agreements governing such award (“</w:t>
      </w:r>
      <w:r>
        <w:rPr>
          <w:rFonts w:ascii="Times New Roman" w:hAnsi="Times New Roman"/>
          <w:color w:val="000000"/>
          <w:sz w:val="24"/>
          <w:u w:val="single"/>
        </w:rPr>
        <w:t>Award Agreement</w:t>
      </w:r>
      <w:r>
        <w:rPr>
          <w:color w:val="000000"/>
        </w:rPr>
        <w:t>”</w:t>
      </w:r>
      <w:r>
        <w:rPr>
          <w:rFonts w:ascii="Times New Roman" w:hAnsi="Times New Roman"/>
          <w:color w:val="000000"/>
          <w:sz w:val="24"/>
        </w:rPr>
        <w:t>). Executive shall remain eligible to receive additional equity-based compensation awards as the Company may grant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Intentionally omitted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Termination by the Company</w:t>
      </w:r>
      <w:r>
        <w:rPr>
          <w:rFonts w:ascii="Times New Roman" w:hAnsi="Times New Roman"/>
          <w:color w:val="000000"/>
          <w:sz w:val="24"/>
        </w:rPr>
        <w:t xml:space="preserve">. Subject to the obligations of the Company set forth in Section 10 below, the Company may terminate Executive’s employment at any time and for any reason (or no reason), and with or without Cause, and without prejudice to any other right or remedy to which the Company or Executive may be entitled at law or in equity or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Executive</w:t>
      </w:r>
      <w:r>
        <w:rPr>
          <w:rFonts w:ascii="Times New Roman" w:hAnsi="Times New Roman"/>
          <w:color w:val="000000"/>
          <w:sz w:val="24"/>
        </w:rPr>
        <w:t>. Executive may voluntarily terminate the Term with written notice for any reason or no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for Death or Disability</w:t>
      </w:r>
      <w:r>
        <w:rPr>
          <w:rFonts w:ascii="Times New Roman" w:hAnsi="Times New Roman"/>
          <w:color w:val="000000"/>
          <w:sz w:val="24"/>
        </w:rPr>
        <w:t xml:space="preserve">. Subject to the obligations of the Company set forth in Section 10 below, Executive’s employment shall terminate automatically upon Executive’s death. Subject to the obligations of the Company set forth in Section 10 below, in the event Executive is unable to perform Executive’s duties as a result of Disability during the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 the Company shall have the right to terminate the employment of Executive by providing written notice of the effective date of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Payments Upon Termination of Employment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Termination for Cause, Death or Disability or Termination by Executive without Good Reason</w:t>
      </w:r>
      <w:r>
        <w:rPr>
          <w:rFonts w:ascii="Times New Roman" w:hAnsi="Times New Roman"/>
          <w:color w:val="000000"/>
          <w:sz w:val="24"/>
        </w:rPr>
        <w:t>. In the event that Executive’s employment hereunder is terminated during the Term by the Company for Cause, as a result of Executive’s death or Disability, or voluntarily by Executive without Good Reason, the Company shall compensate Executive (or in the case of death, Executive’s estate) as follows: on the date of termination, the Company shall pay Executive a lump sum amount equal to (i) any portion of unpaid Base Compensation then due for periods prior to the effective date of termination; (ii) any Bonus and Options earned and not yet paid or granted, as applicable, through the date of termination; and (iii) within 2-1/2 months following submission of proper expense reports by Executive or Executive’s estate, all expenses reasonably and necessarily incurred by Executive in connection with the business of the Company prior to the date of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Company Without Cause or by Executive for Good Reason</w:t>
      </w:r>
      <w:r>
        <w:rPr>
          <w:rFonts w:ascii="Times New Roman" w:hAnsi="Times New Roman"/>
          <w:color w:val="000000"/>
          <w:sz w:val="24"/>
        </w:rPr>
        <w:t>. In the event that Executive’s employment is terminated by the Company without Cause or by Executive for Good Reason, and subject to Executive’s execution and non-revocation of a release pursuant to Section 10(e), the Company shall provide the following severance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date of termination, the Company shall pay Executive any portion of unpaid Base Compensation then due for periods prior to the effective date of termination and reimbursement of all properly submitted business expenses incurred prior to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continue to pay Executive’s Base Compensation for nine (9) months from the date of termination on the Company’s regular payroll dates.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also pay Executive a prorated portion of Executive’s Target Bonus (or Bonus based on actual performance as determined in good faith by the Board or the Compensation Committee) the Executive would have earned for the year in which the termination occurs, with such proration based on the number of days Executive was employed during such year divided by 365. This payment may be made when the Bonus is paid out to other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as of the termination date, a bonus for a completed prior fiscal year has not been paid yet, Executive shall remain eligible to receive such bonus when paid, in an amount determined by applying the same adjustments as are applied to bonuses paid to similarly situated active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reimburse Executive for the same amount that Executive was receiving as the normal Company co-pay for medical insurance for up to nine (9) months, provided Executive maintains coverage through COBRA or an alternative source and timely submits proof of payment; such reimbursement will terminate if Executive obtains other employment through which Executive can obtain medical insurance, whether or not Executive elects such coverage.</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in the Context of a Change of Control</w:t>
      </w:r>
      <w:r>
        <w:rPr>
          <w:rFonts w:ascii="Times New Roman" w:hAnsi="Times New Roman"/>
          <w:color w:val="000000"/>
          <w:sz w:val="24"/>
        </w:rPr>
        <w:t>. In the event of Executive’s termination of employment with the Company either (i) by Executive for Good Reason at any time within nine (9) months after the consummation of a Change of Control; or (ii) by the Company without Cause at any time upon or within nine (9) months after the consummation of a Change of Control, this shall constitute a “Termination in the Context of a Change of Control” and Executive shall be entitled to the following payments and other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date of termination, the Company shall pay Executive any portion of unpaid Base Compensation then due for periods prior to the effective date of termination and reimbursement of all properly submitted business expenses incurred prior to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continue to pay Executive’s Base Compensation for nine (9) months from the date of termination on the Company’s regular payroll dates.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also pay Executive a prorated portion of Executive’s Target Bonus (or Bonus based on actual performance as determined in good faith by the Board or the Compensation Committee) the Executive would have earned for the year in which the termination occurs, based on the number of days Executive was employed during such year divided by 365. This payment may be made when the Bonus is paid out to other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as of the termination date, a bonus for a completed prior fiscal year has not been paid yet, Executive shall remain eligible to receive such bonus when paid, in an amount determined by applying the same adjustments as are applied to bonuses paid to similarly situated active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reimburse Executive for the same amount that Executive was receiving as the normal Company co-pay for medical insurance for up to nine (9) months, provided Executive maintains coverage through COBRA or an alternative source and timely submits proof of payment; such reimbursement will terminate if Executive obtains other employment through which Executive can obtain medical insurance, whether or not Executive elects such coverage.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provision of any stock incentive plan, stock option agreement, restricted stock agreement or other agreement relating to capital stock of the Company, all of the shares and equity awards held by Executive that are then unvested shall immediately vest and, with respect to all options, warrants and other convertible securities of the Company beneficially held by Executive, become fully exercisable for such period of time set forth in the agreement evidencing the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provision, “Change of Control” shall have the same meaning as “Change in Control” under the Company’s equity incentive plan, as in effect on the date hereof (the “Equity Plan”), and shall be deemed to occur only upon the actual consummation of a Change in Control as so defined. For the avoidance of doubt, a Change of Control shall not be deemed to occur as a result of any pending, proposed, or contemplated transaction unless and until both of the following two conditions have been met: (i) a Change of Control has actually occurred pursuant to the Equity Plan and (ii) such event also constitutes a change in control event within the meaning of Section 409A of the Internal Revenue Code, to the extent applicable.</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severance or equity acceleration tied to a Change of Control shall apply only upon an actual consummated Change of Control as defined in this Agreement and the applicable equity plan, and not based on any pending, proposed, or contemplated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Conditions to Payment</w:t>
      </w:r>
      <w:r>
        <w:rPr>
          <w:rFonts w:ascii="Times New Roman" w:hAnsi="Times New Roman"/>
          <w:color w:val="000000"/>
          <w:sz w:val="24"/>
        </w:rPr>
        <w:t>. All payments and benefits due to Executive under this Section 10 that are made subject to this Section 10(f) (such payments, “</w:t>
      </w:r>
      <w:r>
        <w:rPr>
          <w:rFonts w:ascii="Times New Roman" w:hAnsi="Times New Roman"/>
          <w:color w:val="000000"/>
          <w:sz w:val="24"/>
          <w:u w:val="single"/>
        </w:rPr>
        <w:t>Severance</w:t>
      </w:r>
      <w:r>
        <w:rPr>
          <w:color w:val="000000"/>
        </w:rPr>
        <w:t>”</w:t>
      </w:r>
      <w:r>
        <w:rPr>
          <w:rFonts w:ascii="Times New Roman" w:hAnsi="Times New Roman"/>
          <w:color w:val="000000"/>
          <w:sz w:val="24"/>
        </w:rPr>
        <w:t xml:space="preserve">), shall only be payable if Executive (or Executive’s beneficiary or estate) delivers to the Company and does not revoke (under the terms of applicable law) a general release of all claims substantially in the form attached hereto as </w:t>
      </w:r>
      <w:r>
        <w:rPr>
          <w:rFonts w:ascii="Times New Roman" w:hAnsi="Times New Roman"/>
          <w:color w:val="000000"/>
          <w:sz w:val="24"/>
          <w:u w:val="single"/>
        </w:rPr>
        <w:t>Exhibit A</w:t>
      </w:r>
      <w:r>
        <w:rPr>
          <w:rFonts w:ascii="Times New Roman" w:hAnsi="Times New Roman"/>
          <w:color w:val="000000"/>
          <w:sz w:val="24"/>
        </w:rPr>
        <w:t>. Such general release shall be executed and delivered to the Company within twenty-one (21) days of receipt by Executive, and shall no longer be subject to revocation seven (7) days following that execution. Failure to timely execute and return such release, or revocation of such release, shall be a waiver by Executive of Executive’s right to any Severance. If Executive’s review and revocation period for the release of claims required pursuant to this Section spans two of Executive’s taxable years, the first payment shall be made on the first regularly scheduled payroll date of the later taxable year following the effective date of such release of claims and shall include all amounts accrued prior thereto. In addition, Severance shall be conditioned on Executive’s compliance with Section 15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Additional Post-Employment Obligations</w:t>
      </w:r>
      <w:r>
        <w:rPr>
          <w:rFonts w:ascii="Times New Roman" w:hAnsi="Times New Roman"/>
          <w:color w:val="000000"/>
          <w:sz w:val="24"/>
        </w:rPr>
        <w:t>. During the nine (9) month severance period, Executive will provide reasonable cooperation requested by the Company in matters arising from Executive’s service to the Company, subject to reimbursement of reasonable travel and out-of-pocket expenses. Executive shall not make defamatory remarks about the Company or its current or former employees, provided that nothing herein prohibits truthful statements required by law or protected communications with governmental agencies.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Code Section 409A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parties agree that this Agreement shall be interpreted to comply with or be exempt from Section 409A of the Code and the regulations and guidance promulgated thereunder to the extent applicable (collectively “</w:t>
      </w:r>
      <w:r>
        <w:rPr>
          <w:rFonts w:ascii="Times New Roman" w:hAnsi="Times New Roman"/>
          <w:color w:val="000000"/>
          <w:sz w:val="24"/>
          <w:u w:val="single"/>
        </w:rPr>
        <w:t>Code Section 409A</w:t>
      </w:r>
      <w:r>
        <w:rPr>
          <w:color w:val="000000"/>
        </w:rPr>
        <w:t>”</w:t>
      </w:r>
      <w:r>
        <w:rPr>
          <w:rFonts w:ascii="Times New Roman" w:hAnsi="Times New Roman"/>
          <w:color w:val="000000"/>
          <w:sz w:val="24"/>
        </w:rPr>
        <w:t>), and all provisions of this Agreement shall be construed in a manner consistent with the requirements for avoiding taxes or penalties under Code Section 409A. In no event whatsoever will the Company be liable for any additional tax, interest or penalties that may be imposed on Executive under Code Section 409A or any damages for failing to comply with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termination of employment shall not be deemed to have occurred for purposes of any provision of this Agreement providing for the payment of any amounts or benefits considered “nonqualified deferred compensation” under Code Section 409A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If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be made or provided at the date which is the earlier of (i) the expiration of the six (6)-month period measured from the date of such “separation from service” of Executive,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and (ii) the date of Executive’s death (the “</w:t>
      </w:r>
      <w:r>
        <w:rPr>
          <w:rFonts w:ascii="Times New Roman" w:hAnsi="Times New Roman"/>
          <w:color w:val="000000"/>
          <w:sz w:val="24"/>
          <w:u w:val="single"/>
        </w:rPr>
        <w:t>Delay Period</w:t>
      </w:r>
      <w:r>
        <w:rPr>
          <w:color w:val="000000"/>
        </w:rPr>
        <w:t>”</w:t>
      </w:r>
      <w:r>
        <w:rPr>
          <w:rFonts w:ascii="Times New Roman" w:hAnsi="Times New Roman"/>
          <w:color w:val="000000"/>
          <w:sz w:val="24"/>
        </w:rPr>
        <w:t xml:space="preserve">). Upon the expiration of the Delay Period, all payments and benefits delayed pursuant to this </w:t>
      </w:r>
      <w:r>
        <w:rPr>
          <w:rFonts w:ascii="Times New Roman" w:hAnsi="Times New Roman"/>
          <w:color w:val="000000"/>
          <w:sz w:val="24"/>
          <w:u w:val="single"/>
        </w:rPr>
        <w:t>Section 13.7(b)</w:t>
      </w:r>
      <w:r>
        <w:rPr>
          <w:color w:val="000000"/>
        </w:rPr>
        <w:t xml:space="preserve"> </w:t>
      </w:r>
      <w:r>
        <w:rPr>
          <w:rFonts w:ascii="Times New Roman" w:hAnsi="Times New Roman"/>
          <w:color w:val="000000"/>
          <w:sz w:val="24"/>
        </w:rPr>
        <w:t>(whether they would have otherwise been payable in a single sum or in installments in the absence of such delay) shall be paid or reimbursed on the first business day following the expiration of the Delay Period to Executive in a lump sum, and any remaining payments and benefits due under this Agreement shall be paid or provided in accordance with the normal payment dates specified for them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w:t>
      </w:r>
      <w:r>
        <w:rPr>
          <w:rFonts w:ascii="Times New Roman" w:hAnsi="Times New Roman"/>
          <w:color w:val="000000"/>
          <w:sz w:val="24"/>
          <w:u w:val="single"/>
        </w:rPr>
        <w:t>provided</w:t>
      </w:r>
      <w:r>
        <w:rPr>
          <w:rFonts w:ascii="Times New Roman" w:hAnsi="Times New Roman"/>
          <w:color w:val="000000"/>
          <w:sz w:val="24"/>
        </w:rPr>
        <w:t>, that, this clause (ii) shall not be violated with regard to expenses reimbursed under any arrangement covered by Internal Revenue Code Section 105(b) solely because such expenses are subject to a limit related to the period the arrangement is in effect and (iii) such payments shall be made on or before the last day of Executive’s taxable year following the taxable year in which the expense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For purposes of Code Section 409A, Executive’s right to receive any installment payments pursuant to this Agreement shall be treated as a right to receive a series of separate and distinct payments. Whenever a payment under this Agreement specifies a payment period with reference to a number of days (</w:t>
      </w:r>
      <w:r>
        <w:rPr>
          <w:rFonts w:ascii="Times New Roman" w:hAnsi="Times New Roman"/>
          <w:color w:val="000000"/>
          <w:sz w:val="24"/>
          <w:u w:val="single"/>
        </w:rPr>
        <w:t>e.g.</w:t>
      </w:r>
      <w:r>
        <w:rPr>
          <w:rFonts w:ascii="Times New Roman" w:hAnsi="Times New Roman"/>
          <w:color w:val="000000"/>
          <w:sz w:val="24"/>
        </w:rPr>
        <w:t>, “payment shall be made within thirty (30) days following the date of termination”), the actual date of payment within the specified period shall be within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Successors</w:t>
      </w:r>
      <w:r>
        <w:rPr>
          <w:rFonts w:ascii="Times New Roman" w:hAnsi="Times New Roman"/>
          <w:color w:val="000000"/>
          <w:sz w:val="24"/>
        </w:rPr>
        <w:t>. Any successor to the Company (whether direct or indirect and whether by purchase, lease, merger, consolidation, liquidation or otherwise) to all or substantially all of the Company's business and/or assets or otherwise pursuant to a Change of Control shall assume the Company's obligations under this Agreement and agree expressly in writing delivered to Executive, at or prior to such Change of Control, to perform the Company’s obligations under this Agreement in the same manner and to the same extent as the Company would be required to perform such obligations in the absence of a Change of Control. For all purposes under this Agreement, the term “Company” shall include any successor to the Company's business and/or assets (including any parent company to the Company), whether or not in connection with a Change of Control, which becomes bound by the terms of this Agreement by contract, operation of law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Notices and all other communications contemplated by this Agreement shall be in writing and shall be deemed to have been duly given (a) when personally delivered (if to the Company, addressed to its Secretary at the Company’s principal place of business on a non-holiday weekday between the hours of 9 a.m. and 5 p.m.; if to Executive, via personal service to Executive’s last known residence) or (b) three business days following the date it is mailed by U.S. registered or certified mail, return receipt requested and postage prepaid.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Confidential Information</w:t>
      </w:r>
      <w:r>
        <w:rPr>
          <w:rFonts w:ascii="Times New Roman" w:hAnsi="Times New Roman"/>
          <w:color w:val="000000"/>
          <w:sz w:val="24"/>
        </w:rPr>
        <w:t xml:space="preserve">. Executive recognizes and acknowledges that by reason of Executive’s employment by and service to the Company before, during and, if applicable, after the Term, Executive will have access to certain confidential and proprietary information relating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to the Company’s business, which may include, but is not limited to, trade secrets, trade “know-how,” product development techniques and plans, formulas, customer lists and addresses, financing services, funding programs, cost and pricing information, marketing and sales techniques, strategy and programs, computer programs and software and financial information (collectively referred to herein as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xml:space="preserve">). Executive acknowledges that such Confidential Information is a valuable and unique asset of the Company and Executive covenants that Executive will not, unless expressly authorized in writing by the Company, at any time during the course of Executive’s employment use any Confidential Information or divulge or disclose any Confidential Information to any person, firm or corporation except in connection with the performance of Executive’s duties for and on behalf of the Company and in a manner consistent with the Company’s policies regarding Confidential Information. Executive also covenants that at any time after the termination of such employment, directly or indirectly, Executive will not use any Confidential Information or divulge or disclose any Confidential Information to any person, firm or corporation, unless such information is in the public domain through no fault of Executive or except when required to do so by a court of law, by any governmental agency having supervisory authority over the business of the Company or by any administrative or legislative body (including a committee thereof) with apparent jurisdiction to order Executive to divulge, disclose or make accessible such information. All written Confidential Information (including, without limitation, in any computer or other electronic format) which comes into Executive’s possession during the course of Executive’s employment shall remain the property of the Company. Unless expressly authorized in writing by the Company, Executive shall not remove any written Confidential Information from the Company’s premises, except in connection with the performance of Executive’s duties for and on behalf of the Company and in a manner consistent with the Company’s policies regarding Confidential Information. Upon termination of Executive’s employment, the Executive agrees to immediately return to the Company all written Confidential Information (including, without limitation, in any computer or other electronic format) in Executive’s possession. As a condition of Executive’s employment with the Company and in order to protect the Company’s interest in such proprietary information, the Company shall require Executive’s execution of a Confidentiality Agreement and Inventions Agreement in the form attached hereto as </w:t>
      </w:r>
      <w:r>
        <w:rPr>
          <w:rFonts w:ascii="Times New Roman" w:hAnsi="Times New Roman"/>
          <w:color w:val="000000"/>
          <w:sz w:val="24"/>
          <w:u w:val="single"/>
        </w:rPr>
        <w:t>Exhibit B</w:t>
      </w:r>
      <w:r>
        <w:rPr>
          <w:rFonts w:ascii="Times New Roman" w:hAnsi="Times New Roman"/>
          <w:color w:val="000000"/>
          <w:sz w:val="24"/>
        </w:rPr>
        <w:t>, and incorporated herein by this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Intentionally omitted</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Employment Relationship.</w:t>
      </w:r>
      <w:r>
        <w:rPr>
          <w:color w:val="000000"/>
        </w:rPr>
        <w:t xml:space="preserve"> </w:t>
      </w:r>
      <w:r>
        <w:rPr>
          <w:rFonts w:ascii="Times New Roman" w:hAnsi="Times New Roman"/>
          <w:color w:val="000000"/>
          <w:sz w:val="24"/>
        </w:rPr>
        <w:t>Executive’s employment with the Company will remain at will, and this Agreement sets forth the complete agreement regarding that relationship, and any change to the at will nature of employment must be set forth in a written agreement approved by the 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Sections 1, 5, 6, 10, 11, 13, 14, 15 and 17 herein, including this Section 17(a), shall survive the termination of Executive’s employment with the Company, the expiration of this Agreement and the termination of this Agreement for any reason.</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Modifications; No Waiver</w:t>
      </w:r>
      <w:r>
        <w:rPr>
          <w:rFonts w:ascii="Times New Roman" w:hAnsi="Times New Roman"/>
          <w:color w:val="000000"/>
          <w:sz w:val="24"/>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supersedes, amends and restates all prior agreements and understandings between the parties, oral or written, including, without limitation, the Executive Agreement. No modification, termination or attempted waiver shall be valid unless in writing, signed by the party against whom such modification, termination or waiver is sought to be enforced.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Choice of Law</w:t>
      </w:r>
      <w:r>
        <w:rPr>
          <w:rFonts w:ascii="Times New Roman" w:hAnsi="Times New Roman"/>
          <w:color w:val="000000"/>
          <w:sz w:val="24"/>
        </w:rPr>
        <w:t>. The validity, interpretation, construction and performance of this Agreement shall be governed by the internal substantive laws, but not the conflicts of law rules, of the State of California.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or provisions of this Agreement shall not affect the validity or enforceability of any other provision hereof, which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and may be delivered by facsimile or other electronic means, but all of which shall be deemed originals and taken together will constitute one and the same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of the Articles and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Construction of Agreement</w:t>
      </w:r>
      <w:r>
        <w:rPr>
          <w:rFonts w:ascii="Times New Roman" w:hAnsi="Times New Roman"/>
          <w:color w:val="000000"/>
          <w:sz w:val="24"/>
        </w:rPr>
        <w:t>. In the event of a conflict between the text of the Agreement and any summary, description or other information regarding the Agreement, the text of the Agreement shall control.</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each of the parties has executed this Agreement, in the case of the Company by its duly authorized officer, as of the day and year first above written.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br/>
        <w:br/>
        <w:br/>
        <w:t>COMPANY: Cardiff Oncology, Inc.</w:t>
      </w:r>
    </w:p>
    <w:p>
      <w:pPr>
        <w:pStyle w:val="TextBody"/>
        <w:bidi w:val="0"/>
        <w:spacing w:before="0" w:after="240"/>
        <w:jc w:val="left"/>
        <w:rPr>
          <w:rFonts w:ascii="Times New Roman" w:hAnsi="Times New Roman"/>
          <w:sz w:val="20"/>
        </w:rPr>
      </w:pPr>
      <w:r>
        <w:rPr>
          <w:rFonts w:ascii="Times New Roman" w:hAnsi="Times New Roman"/>
          <w:color w:val="000000"/>
          <w:sz w:val="24"/>
        </w:rPr>
        <w:t>By: _</w:t>
      </w:r>
      <w:r>
        <w:rPr>
          <w:rFonts w:ascii="Times New Roman" w:hAnsi="Times New Roman"/>
          <w:color w:val="000000"/>
          <w:sz w:val="24"/>
          <w:u w:val="single"/>
        </w:rPr>
        <w:t>/s/ Mani Mohindru</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Mani Mohindru</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President &amp; CEO</w:t>
      </w:r>
    </w:p>
    <w:p>
      <w:pPr>
        <w:pStyle w:val="TextBody"/>
        <w:bidi w:val="0"/>
        <w:spacing w:before="0" w:after="240"/>
        <w:jc w:val="left"/>
        <w:rPr>
          <w:rFonts w:ascii="Times New Roman" w:hAnsi="Times New Roman"/>
          <w:sz w:val="20"/>
        </w:rPr>
      </w:pPr>
      <w:r>
        <w:rPr>
          <w:rFonts w:ascii="Times New Roman" w:hAnsi="Times New Roman"/>
          <w:color w:val="000000"/>
          <w:sz w:val="24"/>
        </w:rPr>
        <w:br/>
        <w:br/>
        <w:br/>
        <w:t xml:space="preserve">EXECUTIVE: </w:t>
      </w:r>
      <w:r>
        <w:rPr>
          <w:rFonts w:ascii="Times New Roman" w:hAnsi="Times New Roman"/>
          <w:color w:val="000000"/>
          <w:sz w:val="24"/>
          <w:u w:val="single"/>
        </w:rPr>
        <w:t>/s/ Josh Muntner</w:t>
      </w:r>
      <w:r>
        <w:rPr>
          <w:rFonts w:ascii="Times New Roman" w:hAnsi="Times New Roman"/>
          <w:color w:val="000000"/>
          <w:sz w:val="24"/>
        </w:rPr>
        <w:br/>
        <w:t>[Name]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Exhibit A</w:t>
        <w:br/>
        <w:br/>
      </w:r>
      <w:r>
        <w:rPr>
          <w:rFonts w:ascii="Times New Roman" w:hAnsi="Times New Roman"/>
          <w:b/>
          <w:color w:val="000000"/>
          <w:sz w:val="24"/>
        </w:rPr>
        <w:t>Form of Release Agreement</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SEPARATION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Separation Agreement (“Agreement”) is made by and between Cardiff Oncology, Inc. (the “Company”) and Joshua Muntner (“Employee”) (each a “Party” and collectively the “Parties”). In consideration for the execution of this Agreement, and the performance of the terms and conditions set forth herein,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Separation Date</w:t>
      </w:r>
      <w:r>
        <w:rPr>
          <w:rFonts w:ascii="Times New Roman" w:hAnsi="Times New Roman"/>
          <w:color w:val="000000"/>
          <w:sz w:val="24"/>
        </w:rPr>
        <w:t>. Employee’s employment with the Company terminated effective [DATE]. By signing below, Employee acknowledges and agrees Employee has received all wages owed, including accrued and unused vacation; has been reimbursed for all business expenses incurred in accordance with the Company’s expense reimbursement policy; and has received all other payments owed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Consideration</w:t>
      </w:r>
      <w:r>
        <w:rPr>
          <w:rFonts w:ascii="Times New Roman" w:hAnsi="Times New Roman"/>
          <w:color w:val="000000"/>
          <w:sz w:val="24"/>
        </w:rPr>
        <w:t>. In consideration for the execution of this Agreement, and the performance of the terms and conditions set forth herein, the Parties hereby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Cash Payments</w:t>
      </w:r>
      <w:r>
        <w:rPr>
          <w:rFonts w:ascii="Times New Roman" w:hAnsi="Times New Roman"/>
          <w:color w:val="000000"/>
          <w:sz w:val="24"/>
        </w:rPr>
        <w:t xml:space="preserve">. </w:t>
      </w:r>
      <w:r>
        <w:rPr>
          <w:rFonts w:ascii="Times New Roman" w:hAnsi="Times New Roman"/>
          <w:color w:val="000000"/>
          <w:sz w:val="23"/>
        </w:rPr>
        <w:t>The</w:t>
      </w:r>
      <w:r>
        <w:rPr>
          <w:color w:val="000000"/>
        </w:rPr>
        <w:t xml:space="preserve"> </w:t>
      </w:r>
      <w:r>
        <w:rPr>
          <w:rFonts w:ascii="Times New Roman" w:hAnsi="Times New Roman"/>
          <w:color w:val="000000"/>
          <w:sz w:val="24"/>
        </w:rPr>
        <w:t xml:space="preserve">Company shall continue to pay </w:t>
      </w:r>
      <w:r>
        <w:rPr>
          <w:rFonts w:ascii="Times New Roman" w:hAnsi="Times New Roman"/>
          <w:color w:val="000000"/>
          <w:sz w:val="23"/>
        </w:rPr>
        <w:t>Employee’s Base Compensation for nine (9) months from the Separation Date. These payments will be made on the Company’s regular payroll dates.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Prorated Bonus</w:t>
      </w:r>
      <w:r>
        <w:rPr>
          <w:rFonts w:ascii="Times New Roman" w:hAnsi="Times New Roman"/>
          <w:color w:val="000000"/>
          <w:sz w:val="24"/>
        </w:rPr>
        <w:t xml:space="preserve">. The Company shall pay Employee a prorated portion of the Target Bonus (or Bonus based on actual performance as determined in good faith by the Board or the Compensation Committee ) the Executive would have earned for the calendar year in which Executive’s Separation Date occurred, with such proration based on the number of days Employee was employed by the Company during such Target Year divided by 365. This payment may be made when the Bonus is paid out to other employees (“Bonus Payout Date”)). </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Medical Insurance</w:t>
      </w:r>
      <w:r>
        <w:rPr>
          <w:rFonts w:ascii="Times New Roman" w:hAnsi="Times New Roman"/>
          <w:color w:val="000000"/>
          <w:sz w:val="24"/>
        </w:rPr>
        <w:t>. The Company will reimburse Employee the same amount that he was receiving as his normal company co-pay for up to 9 months, provided that he maintains coverage either though COBRA or through an alternative source. This reimbursement will be provided within two weeks of each submission by Employee of proof of payment for medical insurance premiums. This payment will terminate if Employee obtains other employment through which he can obtain medical insurance, whether or not he elects to do so.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Good and Valuable Consideration.</w:t>
      </w:r>
      <w:r>
        <w:rPr>
          <w:color w:val="000000"/>
        </w:rPr>
        <w:t xml:space="preserve"> </w:t>
      </w:r>
      <w:r>
        <w:rPr>
          <w:rFonts w:ascii="Times New Roman" w:hAnsi="Times New Roman"/>
          <w:color w:val="000000"/>
          <w:sz w:val="24"/>
        </w:rPr>
        <w:t xml:space="preserve">The Parties expressly agree that the consideration set forth in Section 2 of this Agreement constitutes good and valuable consideration in addition to anything to which Employee is already entitled, and the Company has no independent legal duty to provide Employee with the consideration set forth in this Agreement, absent the terms of the Agreement itself. Employee understands and agrees that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Employee will not receive the consideration specified herein, without Employee’s execution of this Agreement and the fulfillment of the promises contained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Equity Awards</w:t>
      </w:r>
      <w:r>
        <w:rPr>
          <w:rFonts w:ascii="Times New Roman" w:hAnsi="Times New Roman"/>
          <w:color w:val="000000"/>
          <w:sz w:val="24"/>
        </w:rPr>
        <w:t>. Nothing herein will alter the terms and conditions of Employee’s Equity Award, as set forth in Employee’s Employment Agreement and/or Employee’s Award Agreement, EXCEPT in the event that Employee’s separation was a Termination in the Context of a Change of Control as defined in Employee’s Offer Letter, notwithstanding any provision of any stock incentive plan, stock option agreement, restricted stock agreement or other agreement relating to capital stock of the Company, all of the shares and equity awards held by Employee that are then unvested shall immediately vest and, with respect to all options, warrants and other convertible securities of the Company beneficially held by Employee, become fully exercisable for (A) a period of six months following the date of termination only if at the time of such termination there is a Change of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General Release of Claims</w:t>
      </w:r>
      <w:r>
        <w:rPr>
          <w:rFonts w:ascii="Times New Roman" w:hAnsi="Times New Roman"/>
          <w:color w:val="000000"/>
          <w:sz w:val="24"/>
        </w:rPr>
        <w:t>. Except as to such rights or claims as may be created by this Agreement, Employee, and anyone and any entity claiming through Employee, including but not limited to Employee’s heirs, administrators, successors in interest, assigns and agents, hereby release and forever discharge the Company and all of its past, present and future employees, officers, directors, members, agents, trustees, administrators, representatives, owners, shareholders, partners, insurers, fiduciaries, attorneys, subsidiaries, parent companies, affiliates, related entities, assigns, predecessors and successors in interest, and each and all of them, jointly and severally (collectively the “Released Parties”), from any and all liabilities, claims, causes of action, charges, complaints, obligations, costs, losses, damages, injuries, penalties, interest, attorneys’ fees, and other legal responsibilities, of any form whatsoever, whether known or unknown, unforeseen, unanticipated, unsuspected or latent, which Employee has at any time owned or held prior to Employee’s execution of this Agreement, including but not limited to, any and all claims arising out of, connected with, or relating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Employee’s employment and/or the end of Employee’s employment with the Released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act or omission by the Released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Title VII of the Civil Rights Act of 1964,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Civil Rights Act of 1991,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Sections 1981 through 1988 of Title 42 of the United States Code,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Age Discrimination in Employment Act of 1967,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Employee Retirement Income Security Act of 1974,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Immigration Reform and Control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Americans with Disabilities Act of 1990,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Fair Labor Standards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Workers Adjustment and Retraining Notification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Occupational Safety and Health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California Fair Employment and Housing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California Labor Code,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California Private Attorney General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California Equal Pay Law, as amended;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IWC Wage Orders,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other federal, state or local law, regulation or municipal ordinance, including those regulating compensation and those prohibiting discrimination, harassment, or retaliation of any kind;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Any claim based on violation of public policy, breach of contract, tort, fraud, misrepresentation, defamation, or any other common law claim;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claim for damages of any kind, including but not limited to compensatory damages, emotional distress damages, liquidated damages, punitive damages, or penalties;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claim for costs, fees, interest, or other expenses, including attorneys’ fees.</w:t>
      </w:r>
    </w:p>
    <w:p>
      <w:pPr>
        <w:pStyle w:val="TextBody"/>
        <w:bidi w:val="0"/>
        <w:spacing w:before="0" w:after="240"/>
        <w:jc w:val="left"/>
        <w:rPr>
          <w:rFonts w:ascii="Times New Roman" w:hAnsi="Times New Roman"/>
          <w:sz w:val="20"/>
        </w:rPr>
      </w:pPr>
      <w:r>
        <w:rPr>
          <w:rFonts w:ascii="Times New Roman" w:hAnsi="Times New Roman"/>
          <w:color w:val="000000"/>
          <w:sz w:val="24"/>
        </w:rPr>
        <w:t>The foregoing general release does not apply to any of Employee’s claims that cannot be released as a matter of law and does not limit any rights Employee may have under the National Labor Relations Act. The Parties agree and acknowledge that the release and waiver set forth above shall not prevent Employee from participating in or cooperating with any state or federal agency’s investigation or charge of discrimination, including the Equal Employment Opportunity Commission (“EEOC”). The Parties further agree and acknowledge that nothing in the Agreement prevents or prohibits Employee from filing a charge of discrimination with a state or federal agency, including the EEOC. However, Employee understands and agrees that Employee is giving up the opportunity to recover any compensation, damages, or any other form of relief in any proceeding brought by Employee or on Employee’s behalf.</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Older Worker's Benefit Protection Act</w:t>
      </w:r>
      <w:r>
        <w:rPr>
          <w:rFonts w:ascii="Times New Roman" w:hAnsi="Times New Roman"/>
          <w:color w:val="000000"/>
          <w:sz w:val="24"/>
        </w:rPr>
        <w:t xml:space="preserve">. This Agreement constitutes a knowing and voluntary waiver of any and all rights or claims that Employee has or may have under the Federal Age Discrimination in Employment Act, as amended by the Older Workers' Benefit Protection Act of 1990, 29 U.S.C. §§ 621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This paragraph and this Agreement are written in a manner calculated to be understood by Employee. Employee is hereby advised in writing:</w:t>
      </w:r>
    </w:p>
    <w:p>
      <w:pPr>
        <w:pStyle w:val="TextBody"/>
        <w:bidi w:val="0"/>
        <w:spacing w:before="0" w:after="240"/>
        <w:jc w:val="both"/>
        <w:rPr>
          <w:rFonts w:ascii="Times New Roman" w:hAnsi="Times New Roman"/>
          <w:sz w:val="20"/>
        </w:rPr>
      </w:pPr>
      <w:r>
        <w:rPr>
          <w:rFonts w:ascii="Times New Roman" w:hAnsi="Times New Roman"/>
          <w:color w:val="000000"/>
          <w:sz w:val="24"/>
          <w:u w:val="single"/>
        </w:rPr>
        <w:t>(1)</w:t>
      </w:r>
      <w:r>
        <w:rPr>
          <w:rFonts w:ascii="Times New Roman" w:hAnsi="Times New Roman"/>
          <w:color w:val="000000"/>
          <w:sz w:val="20"/>
        </w:rPr>
        <w:t xml:space="preserve"> </w:t>
      </w:r>
      <w:r>
        <w:rPr>
          <w:rFonts w:ascii="Times New Roman" w:hAnsi="Times New Roman"/>
          <w:color w:val="000000"/>
          <w:sz w:val="24"/>
        </w:rPr>
        <w:t xml:space="preserve">To consult with an attorney before signing this Agreement. </w:t>
        <w:br/>
        <w:br/>
        <w:t xml:space="preserve">(2) Employee has up to 21 days to consider whether to sign this Agreement. If Employee decides not to use all 21 days, Employee knowingly and voluntarily waives any claims that Employee was not given the 21-day period or did not use the entire 21 days to consider this Agreement. </w:t>
        <w:br/>
        <w:br/>
        <w:t>(3) Employee may revoke this Agreement at any time within the 7-day period following the date Employee signs this Agreement by providing written notice of revocation to the Company by email to</w:t>
      </w:r>
      <w:r>
        <w:rPr>
          <w:rFonts w:ascii="Times New Roman" w:hAnsi="Times New Roman"/>
          <w:color w:val="000000"/>
          <w:sz w:val="20"/>
        </w:rPr>
        <w:t xml:space="preserve"> </w:t>
      </w:r>
      <w:r>
        <w:rPr>
          <w:rFonts w:ascii="Times New Roman" w:hAnsi="Times New Roman"/>
          <w:color w:val="000000"/>
          <w:sz w:val="24"/>
        </w:rPr>
        <w:t>the Chair of the Board of Directors [email address] so that said revocation notice is received before the expiration of the 7-day revocation period (the “Revocation Period”). If Employee revokes the Agreement within the Revocation Period, Employee will not receive the consideration set forth in the Agreement.</w:t>
      </w:r>
    </w:p>
    <w:p>
      <w:pPr>
        <w:pStyle w:val="TextBody"/>
        <w:bidi w:val="0"/>
        <w:jc w:val="left"/>
        <w:rPr>
          <w:rFonts w:ascii="Times New Roman" w:hAnsi="Times New Roman"/>
          <w:sz w:val="20"/>
        </w:rPr>
      </w:pPr>
      <w:r>
        <w:rPr>
          <w:rFonts w:ascii="Times New Roman" w:hAnsi="Times New Roman"/>
          <w:color w:val="000000"/>
          <w:sz w:val="24"/>
        </w:rPr>
        <w:t>Release of Unknown Claims. Employee has reviewed and hereby expressly waives the provisions of Section 1542 of the California Civil Code, which provides as follows:</w:t>
        <w:br/>
        <w:br/>
        <w:t>A GENERAL RELEASE DOES NOT EXTEND TO CLAIMS THAT THE CREDITOR OR RELEASING PARTY DOES NOT KNOW OR SUSPECT TO EXIST IN HIS OR HER FAVOR AT THE TIME OF EXECUTING THE RELEASE AND THAT, IF KNOWN BY HIM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OR HER, WOULD HAVE MATERIALLY AFFECTED HIS OR HER SETTLEMENT WITH THE DEBTOR OR RELEASED PARTY. </w:t>
        <w:br/>
        <w:br/>
        <w:t>This Agreement extends to all claims or causes of action, of every nature and kind whatsoever, known or unknown, suspected or unsuspected, enumerated in this Agreement or otherwise. Employee may hereafter discover presently unknown facts or claims different from or in addition to those that Employee now knows as to the matters released herein. Nevertheless, it is Employee’s intention, through this Agreement, to fully release all such matters and all claims related thereto, which do now exist, may exist or heretofore have existed.</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Covenant Not to Sue</w:t>
      </w:r>
      <w:r>
        <w:rPr>
          <w:rFonts w:ascii="Times New Roman" w:hAnsi="Times New Roman"/>
          <w:color w:val="000000"/>
          <w:sz w:val="24"/>
        </w:rPr>
        <w:t>. Employee has not, and will not, directly or indirectly institute any legal action against the Released Parties based upon, arising out of, or relating to any claims released in this Agreement, to the extent allowed by law. Employee has not, and will not, directly or indirectly encourage and/or solicit any third party to institute any legal action against the Company or Released Parties, to the extent allowed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Inquiries</w:t>
      </w:r>
      <w:r>
        <w:rPr>
          <w:rFonts w:ascii="Times New Roman" w:hAnsi="Times New Roman"/>
          <w:color w:val="000000"/>
          <w:sz w:val="24"/>
        </w:rPr>
        <w:t xml:space="preserve">. The Company will respond to any inquiries about Employee’s employment by providing only Employee’s dates of employment and job titles. Employee will direct all such inquiries only to [name and email of HR]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No Workplace Injuries</w:t>
      </w:r>
      <w:r>
        <w:rPr>
          <w:rFonts w:ascii="Times New Roman" w:hAnsi="Times New Roman"/>
          <w:color w:val="000000"/>
          <w:sz w:val="24"/>
        </w:rPr>
        <w:t>. Employee has not sustained any workplace injury of any kind during Employee’s employment with the Company, and Employee does not intend to file any claim for or seek any workers’ compensation benefits.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Non-Disclosure of Confidential, Trade Secret, or Proprietary Information</w:t>
      </w:r>
      <w:r>
        <w:rPr>
          <w:rFonts w:ascii="Times New Roman" w:hAnsi="Times New Roman"/>
          <w:color w:val="000000"/>
          <w:sz w:val="24"/>
        </w:rPr>
        <w:t xml:space="preserve">. Employee agrees that Employee will continue to be bound by the Confidentiality and Non-Disclosure Agreement executed by Employee on [DATE] to the extent it is enforceable under current law, and will not use any Trade Secrets, Confidential Information, or Proprietary Information in order to compete with the Company and/or its affiliates or for any other purpose. Employee will not, for any reason, disclose to others or use for the benefit of anyone other than the Company any trade secret, confidential or proprietary information of the Company, including, but not limited to information relating to the Company’s customers, employees, consultants, affiliates, partners, products, services, know-how, techniques, computer systems, programs, policies and procedures, research, projects, future developments, costs, profits, pricing, customer and client information. The use of any trade secret, confidential or proprietary information belonging to the Company shall be a material breach of this Agreement. Employee acknowledges and agrees that Employee’s obligations provided herein are necessary and reasonable in order to protect the Company and its affiliates and their respective business and Employee expressly agrees that monetary damages would be inadequate to compensate the Company and/or its affiliates for any breach by Employee of Employee’s covenants and agreements set forth herein. Accordingly, Employee agrees and acknowledges that any such violation of this Section 9 will cause irreparable injury to the Company and that, in addition to any other remedies that may be available, in law, in equity or otherwise, the Company and its affiliates shall be entitled to seek injunctive relief against the breach of this Section 9 or the continuation of any such breach by the Employee without the necessity of proving actual damages. In the event Employee directly or indirectly breaches (or causes others to breach) the confidentiality provisions of this Section 9, the Parties stipulate and agree that that damages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breach of such obligation would be, and are, difficult and impractical to ascertain. The Parties further acknowledge and agree that there is a benefit to each Party in fixing a limitation on damages based on good-faith estimates of the damages expected in the event of a breach of the confidentiality provisions of this Section 9. Accordingly, Employee agrees to pay Company the sum of ten thousand ($10,000) for each incident of breach, representing a sum that the Parties agree is reasonable in light of the circumstances existing at the time of this Agreement. Any claimed breach of the obligations of this Section 9 shall be proved by a preponderance of the evidence, and the prevailing party in any action brought for violation of this Section 9 shall be entitled to recover its reasonable attorney’s fees and costs as determined by a Court of competent jurisdiction. The Parties acknowledge and agree that this provision for liquidated damages does not constitute a penalty or forfeiture within the meaning of Civil Code sections 3275 or 3369 or any other provision of California law. Neither the breach of this Section 9 nor the payment of liquidated damages by Employee shall affect the continuing validity or enforceability of this Agreement.</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Defend Trade Secrets Act</w:t>
      </w:r>
      <w:r>
        <w:rPr>
          <w:rFonts w:ascii="Times New Roman" w:hAnsi="Times New Roman"/>
          <w:color w:val="000000"/>
          <w:sz w:val="24"/>
        </w:rPr>
        <w:t>. Notwithstanding anything contained herein or in any other confidentiality provision to which Employee may be or may have been subject as a result of Employee’s employment with the Company, nothing shall prohibit Employee from communicating with government authorities concerning any possible legal violations. The Company nonetheless asserts and does not waive its attorney-client privilege over any information appropriately protected by the privilege. Employee is advised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However, Employee understands that in the event that disclosure of the Company’s trade secrets was not done in good faith pursuant to the above, Employee will be subject to substantial damages, including punitive damages and attorneys’ fees. Employee acknowledges that these obligations are supplemental to, and do not replace or alter, his existing obligations pursuant to the Offer of Employment executed by Employee on [DATE], the Employee Confidentiality and Non-Disclosure Agreement executed by Employee on [DATE], or any other similar documents.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Cooperation after Separation</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During the 9-month severance period, Employee will be expected to provide such assistance to the Company and its counsel as they may request in regard to any matters of which Employee has particular knowledge as a result of Employee’s employment with the Company. Such assistance shall include, but is not limited to, answering any inquiries the Company may have or receive regarding the execution of Employee’s past duties at the Company, acting as a resource person in matters relevant to Employee’s knowledge and experience with the Company, providing information and answers in response to interrogatories or other discovery, giving sworn statements and testifying in arbitrations, depositions and/or trials, and committing to be available, upon reasonable notice, to meet with the Company and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attorneys to adequately prepare for any and all proceedings associated with pending or threatened litigation or arbitration involving the Company. Employee shall not be obligated to provide assistance that would unreasonably and materially interfere with Employee’s business or personal activities.</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that travel or other expenses are incurred by Employee in connection with such assistance or in the event Employee’s deposition is required, the reasonable travel costs and out-of-pocket expenses in connection therewith shall be reimbursed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Return of Company Property and Materials</w:t>
      </w:r>
      <w:r>
        <w:rPr>
          <w:rFonts w:ascii="Times New Roman" w:hAnsi="Times New Roman"/>
          <w:color w:val="000000"/>
          <w:sz w:val="24"/>
        </w:rPr>
        <w:t>. Employee acknowledges that Employee has returned to the Company all the Company’s records, documents, electronically stored information, and tangible embodiments of such, in Employee’s possession, including but not limited to the Company’s trade secrets, confidential information and proprietary information. Employee confirms that Employee has returned to the Company all property of the Company, including but not limited to automobiles, keys, key cards, cellular phones, credit cards, personal and laptop computers, and any other electronic equipment.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Non-Disparagement</w:t>
      </w:r>
      <w:r>
        <w:rPr>
          <w:rFonts w:ascii="Times New Roman" w:hAnsi="Times New Roman"/>
          <w:color w:val="000000"/>
          <w:sz w:val="24"/>
        </w:rPr>
        <w:t xml:space="preserve">. Employee shall not make any defamatory remarks about the Company or its current or former employees, verbally or in writing, including without limitation posting on social media applications such as YouTube, Facebook, X (f.k.a. Twitter), LinkedIn, blogs, or other public fora, or otherwise take any action that could reasonably be anticipated to cause damage to the reputation, goodwill, or business of the Company. </w:t>
      </w:r>
      <w:r>
        <w:rPr>
          <w:rFonts w:ascii="Times New Roman" w:hAnsi="Times New Roman"/>
          <w:color w:val="424449"/>
          <w:sz w:val="24"/>
        </w:rPr>
        <w:t xml:space="preserve">Nothing in this provision or this Agreement (i) </w:t>
      </w:r>
      <w:r>
        <w:rPr>
          <w:rFonts w:ascii="Times New Roman" w:hAnsi="Times New Roman"/>
          <w:color w:val="000000"/>
          <w:sz w:val="24"/>
        </w:rPr>
        <w:t xml:space="preserve">shall prevent Employee from discussing or disclosing information about unlawful acts in the workplace, such as harassment or discrimination or any other conduct that Employee has reason to believe is unlawful; or (ii) </w:t>
      </w:r>
      <w:r>
        <w:rPr>
          <w:rFonts w:ascii="Times New Roman" w:hAnsi="Times New Roman"/>
          <w:color w:val="424449"/>
          <w:sz w:val="24"/>
        </w:rPr>
        <w:t xml:space="preserve">shall </w:t>
      </w:r>
      <w:r>
        <w:rPr>
          <w:rFonts w:ascii="Times New Roman" w:hAnsi="Times New Roman"/>
          <w:color w:val="000000"/>
          <w:sz w:val="24"/>
        </w:rPr>
        <w:t xml:space="preserve">prevent the disclosure of factual information that is related to a claim filed in a civil action or a complaint filed in an administrative action concerning alleged criminal conduct or alleged sexual harassment on the part of Company or any other Company Entity, or regarding any sexual assault, sexual abuse, sexual harassment, workplace harassment or discrimination; a failure to prevent an act workplace harassment or discrimination; or retaliation against a person for reporting workplace harassment or discrimination, when Employee has been required or requested to attend the proceeding pursuant to a court order, subpoena, or written request from an administrative agency or the legislature.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Non-Participation in Class, Representative, or PAGA Actions</w:t>
      </w:r>
      <w:r>
        <w:rPr>
          <w:rFonts w:ascii="Times New Roman" w:hAnsi="Times New Roman"/>
          <w:color w:val="000000"/>
          <w:sz w:val="24"/>
        </w:rPr>
        <w:t>. Employee agrees not to bring or participate in any class, representative, PAGA or other similar action against Company, and agrees that Employee will opt out of any such action to the extent permitted by law, and that the production of this agreement will be sufficient grounds to exclude Employee from any such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Non-Disclosure</w:t>
      </w:r>
      <w:r>
        <w:rPr>
          <w:rFonts w:ascii="Times New Roman" w:hAnsi="Times New Roman"/>
          <w:color w:val="000000"/>
          <w:sz w:val="24"/>
        </w:rPr>
        <w:t xml:space="preserve">. Employee agrees not to disclose the terms of this Agreement, or the fact of its existence or execution, to anyone other than Employee’s immediate family members, attorneys, financial advisors, or accountants (provided that Employee obtains such person’s written agreement not to disclose the fact or terms of this Agreement and that a breach by such person shall be considered a breach by Employee), governmental taxing authorities,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pursuant to a subpoena or order of a court of competent jurisdiction, or to the SEC, OSHA, EEOC, CRD, NLRB, or similar agency, to the extent such disclosures are required by law.</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Tax Obligations and Indemnification</w:t>
      </w:r>
      <w:r>
        <w:rPr>
          <w:rFonts w:ascii="Times New Roman" w:hAnsi="Times New Roman"/>
          <w:color w:val="000000"/>
          <w:sz w:val="24"/>
        </w:rPr>
        <w:t>. Employee understands, acknowledges, and agrees that Employee is solely responsible for all tax obligations attributable to Employee, including all reporting and payment obligations that may arise as a consequence of this. Neither Company nor any of the Released Parties make any warranty concerning the treatment under federal or state tax laws for any funds paid pursuant to this Agreement, and Employee expressly acknowledges and agrees that neither Company nor any of the Released Parties has made any promise, representation, or warranty, express or implied, regarding the tax consequences of any sum paid to Employee pursuant to this Agreement. Employee agrees to indemnify and hold harmless Company, Released Parties, and any person or entity affiliated with Company, from any tax liability or penalties attributable to Employee that may arise from this Agreement. Employee further acknowledges and agrees that Company does not, and shall not, have any obligation to indemnify or defend Employee in any tax proceedings or from any tax consequences that could result from any payments made in accordance with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CIRCULAR 230 DISCLAIMER</w:t>
      </w:r>
      <w:r>
        <w:rPr>
          <w:rFonts w:ascii="Times New Roman" w:hAnsi="Times New Roman"/>
          <w:color w:val="000000"/>
          <w:sz w:val="24"/>
        </w:rPr>
        <w:t>. EMPLOYEE (FOR PURPOSES OF THIS SECTION, THE "ACKNOWLEDGING PARTY"; AND EACH PARTY TO THIS AGREEMENT OTHER THAN THE ACKNOWLEDGING PARTY, AN "OTHER PARTY") ACKNOWLEDGE AND AGREE: (1) NO PROVISION OF THIS AGREEMENT, AND NO WRITTEN COMMUNICATION OR DISCLOSURE BETWEEN OR AMONG THE PARTIES OR THEIR ATTORNEYS AND OTHER ADVISERS, IS OR WAS INTENDED TO BE, NOR SHALL ANY SUCH COMMUNICATION OR DISCLOSURE CONSTITUTE OR BE CONSTRUED OR BE RELIED UPON AS, TAX ADVICE WITHIN THE MEANING OF UNITED STATES TREASURY DEPARTMENT CIRCULAR 230 (31 CFR PART 10, AS AMENDED); (2) THE ACKNOWLEDGING PARTY (A) HAS RELIED EXCLUSIVELY UPON HIS, HER OR ITS OWN INDEPENDENT LEGAL AND TAX ADVISERS FOR ADVICE (INCLUDING TAX ADVICE) IN CONNECTION WITH THIS AGREEMENT, (B) HAS NOT ENTERED INTO THIS AGREEMENT BASED UPON THE RECOMMENDATION OF ANY OTHER PARTY OR ANY ATTORNEY OR ADVISOR TO ANY OTHER PARTY, AND (C) IS NOT ENTITLED TO RELY UPON ANY COMMUNICATION OR DISCLOSURE BY ANY ATTORNEY OR ADVISER TO ANY OTHER PARTY TO AVOID ANY TAX PENALTY THAT MAY BE IMPOSED ON THE ACKNOWLEDGING PARTY; AND (3) NO ATTORNEY OR ADVISER TO ANY OTHER PARTY HAS IMPOSED ANY LIMITATION THAT PROTECTS THE CONFIDENTIALITY OF ANY SUCH ATTORNEY'S OR ADVISER'S TAX STRATEGIES (REGARDLESS OF WHETHER SUCH LIMITATION IS LEGALLY BINDING) UPON DISCLOSURE BY THE ACKNOWLEDGING PARTY OF THE TAX TREATMENT OR TAX STRUCTURE OF ANY TRANSACTION, INCLUDING ANY TRANSACTION CONTEMPLATED BY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Arbitration</w:t>
      </w:r>
      <w:r>
        <w:rPr>
          <w:rFonts w:ascii="Times New Roman" w:hAnsi="Times New Roman"/>
          <w:color w:val="000000"/>
          <w:sz w:val="24"/>
        </w:rPr>
        <w:t xml:space="preserve">. Except for claims for emergency equitable or injunctive relief which cannot be timely addressed through arbitration, the Parties agree to submit any claim or dispute arising out of the terms of this Agreement to private and confidential arbitration by a single neutral arbitrator through Judicial Arbitration and Mediation Services, Inc. ("JAMS"). The JAMS Streamlined Arbitration Rules &amp; Procedures in effect at the time of the claim or dispute 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arbitrated will govern the procedure for the arbitration proceedings between the Parties. The arbitration shall take place in San Diego County, California. The arbitrator in this matter shall not have the power to modify any of the provisions of this Agreement. The decision of the arbitrator shall be final and binding on all Parties to this Agreement, and judgment thereon may be entered in any court having jurisdiction. The Party initiating the arbitration shall advance the arbitrator's fee and all costs of services provided by the arbitrator and arbitration organization. However, all the costs of the arbitration proceeding or litigation to enforce this Agreement, including attorneys' fees and costs, shall be paid as the arbitrator or court awards in accordance with applicable law. The Parties hereby waive any right to a jury trial on any dispute or claim covered by this Agreement, to the fullest extent permitted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Employee Representations and Acknowledgments</w:t>
      </w:r>
      <w:r>
        <w:rPr>
          <w:rFonts w:ascii="Times New Roman" w:hAnsi="Times New Roman"/>
          <w:color w:val="000000"/>
          <w:sz w:val="24"/>
        </w:rPr>
        <w:t xml:space="preserve">. Employee hereby represents and warrants to the Company that Employee (a) has read this Agreement in its entirety, (b) has all requisite power and authority to execute and deliver this Agreement and to perform his or her obligations hereunder, (c) fully understands the contents of this Agreement, (d) freely, voluntarily and without coercion enters into this Agreement, and (e) is signing it with full knowledge that it is intended, to the maximum extent permitted by law, as a complete release and waiver of any and all claims.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rFonts w:ascii="Times New Roman" w:hAnsi="Times New Roman"/>
          <w:color w:val="000000"/>
          <w:sz w:val="24"/>
          <w:u w:val="single"/>
        </w:rPr>
        <w:t>Severability.</w:t>
      </w:r>
      <w:r>
        <w:rPr>
          <w:color w:val="000000"/>
        </w:rPr>
        <w:t xml:space="preserve"> </w:t>
      </w:r>
      <w:r>
        <w:rPr>
          <w:rFonts w:ascii="Times New Roman" w:hAnsi="Times New Roman"/>
          <w:color w:val="000000"/>
          <w:sz w:val="24"/>
        </w:rPr>
        <w:t>In the event any provision of this Agreement is held to be void, null or unenforceable, the remaining portions shall remain in full force and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pPr>
      <w:r>
        <w:rPr>
          <w:rFonts w:ascii="Times New Roman" w:hAnsi="Times New Roman"/>
          <w:color w:val="000000"/>
          <w:sz w:val="24"/>
          <w:u w:val="single"/>
        </w:rPr>
        <w:t>No Admission of Wrongdoing</w:t>
      </w:r>
      <w:r>
        <w:rPr>
          <w:rFonts w:ascii="Times New Roman" w:hAnsi="Times New Roman"/>
          <w:color w:val="000000"/>
          <w:sz w:val="24"/>
        </w:rPr>
        <w:t>. Neither this Agreement nor the furnishing of the consideration for this Agreement shall be deemed or construed as an admission of liability or wrongdoing on the part of the Released Parties, nor shall they be admissible as evidence in any proceeding other than for the enforcement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Modification</w:t>
      </w:r>
      <w:r>
        <w:rPr>
          <w:rFonts w:ascii="Times New Roman" w:hAnsi="Times New Roman"/>
          <w:color w:val="000000"/>
          <w:sz w:val="24"/>
        </w:rPr>
        <w:t>. This Agreement cannot be modified in any respect except in a written instrument signed by both Parties.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Entire Agreement</w:t>
      </w:r>
      <w:r>
        <w:rPr>
          <w:rFonts w:ascii="Times New Roman" w:hAnsi="Times New Roman"/>
          <w:color w:val="000000"/>
          <w:sz w:val="24"/>
        </w:rPr>
        <w:t xml:space="preserve">. This Agreement sets forth the entire agreement between the Parties hereto, and fully supersedes any prior agreements or understandings between the Parties, except for any confidentiality agreements and/or the restrictive covenants between the Parties, which shall remain in full force and effect to the greatest extent permitted by law.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No Reliance</w:t>
      </w:r>
      <w:r>
        <w:rPr>
          <w:rFonts w:ascii="Times New Roman" w:hAnsi="Times New Roman"/>
          <w:color w:val="000000"/>
          <w:sz w:val="24"/>
        </w:rPr>
        <w:t>. Employee has not relied on any representations, promises, or agreements of any kind made to Employee in connection with Employee’s decision to accept this Agreement, except for those set forth in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Interpretation</w:t>
      </w:r>
      <w:r>
        <w:rPr>
          <w:rFonts w:ascii="Times New Roman" w:hAnsi="Times New Roman"/>
          <w:color w:val="000000"/>
          <w:sz w:val="24"/>
        </w:rPr>
        <w:t>. Any uncertainty or ambiguity in the Agreement shall not be construed for or against any Party based on the attribution of drafting to any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Headings</w:t>
      </w:r>
      <w:r>
        <w:rPr>
          <w:rFonts w:ascii="Times New Roman" w:hAnsi="Times New Roman"/>
          <w:color w:val="000000"/>
          <w:sz w:val="24"/>
        </w:rPr>
        <w:t>. The paragraph headings used in the Agreement are included solely for convenience and shall not affect or be used in connection with the interpretation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by the Parties in counterparts, which are defined as duplicate originals, all of which taken together shall be construed as one document.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left"/>
        <w:rPr/>
      </w:pPr>
      <w:r>
        <w:rPr>
          <w:rFonts w:ascii="Times New Roman" w:hAnsi="Times New Roman"/>
          <w:color w:val="000000"/>
          <w:sz w:val="24"/>
          <w:u w:val="single"/>
        </w:rPr>
        <w:t>Signature</w:t>
      </w:r>
      <w:r>
        <w:rPr>
          <w:rFonts w:ascii="Times New Roman" w:hAnsi="Times New Roman"/>
          <w:color w:val="000000"/>
          <w:sz w:val="24"/>
        </w:rPr>
        <w:t>. A signature by DocuSign, email, or other electronic means on this Agreement shall be as legally binding as an original signature.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left"/>
        <w:rPr/>
      </w:pPr>
      <w:r>
        <w:rPr>
          <w:rFonts w:ascii="Times New Roman" w:hAnsi="Times New Roman"/>
          <w:color w:val="000000"/>
          <w:sz w:val="24"/>
          <w:u w:val="single"/>
        </w:rPr>
        <w:t>Governing Law</w:t>
      </w:r>
      <w:r>
        <w:rPr>
          <w:rFonts w:ascii="Times New Roman" w:hAnsi="Times New Roman"/>
          <w:color w:val="000000"/>
          <w:sz w:val="24"/>
        </w:rPr>
        <w:t xml:space="preserve">. This Agreement shall be governed and conformed in accordance with the laws of the State of California, without regard to its conflicts of law principles.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PLEASE READ CAREFULLY. THIS AGREEMENT INCLUDES A RELEASE OF ALL KNOWN AND UNKNOWN CLAIMS.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Executed on ___, ____ by: _______________________________________ [EMPLOYEE NAME]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Executed on ___, ____ by: _______________________________________ [Chief Executive Officer]</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Exhibit B</w:t>
      </w:r>
      <w:r>
        <w:rPr>
          <w:rFonts w:ascii="Times New Roman" w:hAnsi="Times New Roman"/>
          <w:b/>
          <w:color w:val="000000"/>
          <w:sz w:val="24"/>
        </w:rPr>
        <w:br/>
        <w:br/>
        <w:t>Confidentiality and Inventions Agreement</w:t>
      </w:r>
    </w:p>
    <w:p>
      <w:pPr>
        <w:pStyle w:val="TextBody"/>
        <w:bidi w:val="0"/>
        <w:spacing w:before="0" w:after="240"/>
        <w:jc w:val="center"/>
        <w:rPr>
          <w:rFonts w:ascii="Arial" w:hAnsi="Arial"/>
          <w:b/>
          <w:color w:val="000000"/>
          <w:sz w:val="24"/>
        </w:rPr>
      </w:pPr>
      <w:r>
        <w:rPr>
          <w:rFonts w:ascii="Arial" w:hAnsi="Arial"/>
          <w:b/>
          <w:color w:val="000000"/>
          <w:sz w:val="24"/>
        </w:rPr>
        <w:t>EMPLOYEE CONFIDENTIALITY &amp; NON-DISCLOSURE AGREEMENT</w:t>
      </w:r>
    </w:p>
    <w:p>
      <w:pPr>
        <w:pStyle w:val="TextBody"/>
        <w:bidi w:val="0"/>
        <w:jc w:val="both"/>
        <w:rPr>
          <w:rFonts w:ascii="Times New Roman" w:hAnsi="Times New Roman"/>
          <w:sz w:val="20"/>
        </w:rPr>
      </w:pPr>
      <w:bookmarkStart w:id="43" w:name="text41"/>
      <w:bookmarkEnd w:id="43"/>
      <w:r>
        <w:rPr>
          <w:rFonts w:ascii="Arial" w:hAnsi="Arial"/>
          <w:color w:val="000000"/>
          <w:sz w:val="24"/>
        </w:rPr>
        <w:t>This Employee Confidentiality &amp; Non-Disclosure Agreement (“Agreement”) is made as of [Date] by and between</w:t>
      </w:r>
      <w:r>
        <w:rPr>
          <w:rFonts w:ascii="Times New Roman" w:hAnsi="Times New Roman"/>
          <w:color w:val="000000"/>
          <w:sz w:val="20"/>
        </w:rPr>
        <w:t xml:space="preserve"> </w:t>
      </w:r>
      <w:r>
        <w:rPr>
          <w:rFonts w:ascii="Arial" w:hAnsi="Arial"/>
          <w:color w:val="000000"/>
          <w:sz w:val="24"/>
        </w:rPr>
        <w:t>Joshua Muntner (“Employee”) and Cardiff Oncology, Inc. (the “Company”) with respect to the following facts: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A. Employee is about to become a paid employee of the Company based in California;</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Arial" w:hAnsi="Arial"/>
          <w:color w:val="000000"/>
          <w:sz w:val="24"/>
        </w:rPr>
        <w:t>In connection with this employment, Employee will have access to certain confidential, proprietary, and/or trade secret information of the Company, and may in the course of employment with the Company participate in creating such information.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4"/>
        </w:rPr>
        <w:t>THEREFORE, in consideration of Employee’s employment with the Company as well as the compensation that will be paid to Employee by the Company, Employee agrees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1.</w:t>
      </w:r>
    </w:p>
    <w:p>
      <w:pPr>
        <w:pStyle w:val="TextBody"/>
        <w:bidi w:val="0"/>
        <w:spacing w:before="0" w:after="240"/>
        <w:jc w:val="both"/>
        <w:rPr/>
      </w:pPr>
      <w:r>
        <w:rPr>
          <w:rFonts w:ascii="Arial" w:hAnsi="Arial"/>
          <w:color w:val="000000"/>
          <w:sz w:val="24"/>
          <w:u w:val="single"/>
        </w:rPr>
        <w:t>Definitions.</w:t>
      </w:r>
      <w:r>
        <w:rPr>
          <w:color w:val="000000"/>
        </w:rPr>
        <w:t xml:space="preserve"> </w:t>
      </w:r>
    </w:p>
    <w:p>
      <w:pPr>
        <w:pStyle w:val="TextBody"/>
        <w:bidi w:val="0"/>
        <w:spacing w:before="0" w:after="240"/>
        <w:jc w:val="both"/>
        <w:rPr>
          <w:rFonts w:ascii="Arial" w:hAnsi="Arial"/>
          <w:color w:val="000000"/>
          <w:sz w:val="24"/>
        </w:rPr>
      </w:pPr>
      <w:r>
        <w:rPr>
          <w:rFonts w:ascii="Arial" w:hAnsi="Arial"/>
          <w:color w:val="000000"/>
          <w:sz w:val="24"/>
        </w:rPr>
        <w:t>1.1 “Confidential Information” is defined as all non-public information obtained by Employee from or pertaining to the Company and its business during the course of Employee's employment with the Company, including but not limited to the Company’s Trade Secrets; inventions, designs, improvements, methodology, concepts; plans and results of research and development; marketing and advertising strategies; lists of present and future clients; client contracts; all data obtained from or related to Company clients, including their preferences and contracting habits or terms; supplier lists and information; any Company personnel information (except concerning the Employee); cost figures; pricing; financial information; software; systems; special techniques of any kind peculiar to the Company’s products, services, or operations; special ideas, plans, proposals, processes or information related to the current, future and proposed business, products, services or sales of the Company and its clients; and any other information that Employee receives as a result of Employee’s employment with the Company that has not been disclosed previously to the general public by an authorized Company representative or client. This specifically includes all information the Company receives from clients or other third parties that is not generally known to the public or is subject to a confidentiality agreement. Confidential Information does not include general industry skills, experience, or know-how, and does not include information that is generally available to the public.</w:t>
      </w:r>
    </w:p>
    <w:p>
      <w:pPr>
        <w:pStyle w:val="TextBody"/>
        <w:bidi w:val="0"/>
        <w:jc w:val="both"/>
        <w:rPr>
          <w:rFonts w:ascii="Times New Roman" w:hAnsi="Times New Roman"/>
          <w:sz w:val="20"/>
        </w:rPr>
      </w:pPr>
      <w:r>
        <w:rPr>
          <w:rFonts w:ascii="Arial" w:hAnsi="Arial"/>
          <w:color w:val="000000"/>
          <w:sz w:val="24"/>
        </w:rPr>
        <w:t>1.2 “Services”</w:t>
      </w:r>
      <w:r>
        <w:rPr>
          <w:rFonts w:ascii="Times New Roman" w:hAnsi="Times New Roman"/>
          <w:color w:val="000000"/>
          <w:sz w:val="20"/>
        </w:rPr>
        <w:t xml:space="preserve"> </w:t>
      </w:r>
      <w:r>
        <w:rPr>
          <w:rFonts w:ascii="Arial" w:hAnsi="Arial"/>
          <w:color w:val="000000"/>
          <w:sz w:val="24"/>
        </w:rPr>
        <w:t>means any tasks performed or services rendered by Employee in the course of Employee’s employment with the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1.3</w:t>
      </w:r>
    </w:p>
    <w:p>
      <w:pPr>
        <w:pStyle w:val="TextBody"/>
        <w:bidi w:val="0"/>
        <w:spacing w:before="0" w:after="240"/>
        <w:jc w:val="both"/>
        <w:rPr/>
      </w:pPr>
      <w:r>
        <w:rPr>
          <w:color w:val="000000"/>
        </w:rPr>
        <w:t>“</w:t>
      </w:r>
      <w:r>
        <w:rPr>
          <w:rFonts w:ascii="Arial" w:hAnsi="Arial"/>
          <w:color w:val="000000"/>
          <w:sz w:val="24"/>
        </w:rPr>
        <w:t>Trade Secret”</w:t>
      </w:r>
      <w:r>
        <w:rPr>
          <w:color w:val="000000"/>
        </w:rPr>
        <w:t xml:space="preserve"> </w:t>
      </w:r>
      <w:r>
        <w:rPr>
          <w:rFonts w:ascii="Arial" w:hAnsi="Arial"/>
          <w:color w:val="000000"/>
          <w:sz w:val="24"/>
        </w:rPr>
        <w:t>has that meaning set forth under applicable law. It includes all information that may be considered a Trade Secret under applicable law.</w:t>
      </w:r>
    </w:p>
    <w:p>
      <w:pPr>
        <w:pStyle w:val="TextBody"/>
        <w:bidi w:val="0"/>
        <w:jc w:val="both"/>
        <w:rPr>
          <w:rFonts w:ascii="Arial" w:hAnsi="Arial"/>
          <w:color w:val="000000"/>
          <w:sz w:val="24"/>
        </w:rPr>
      </w:pPr>
      <w:r>
        <w:rPr>
          <w:rFonts w:ascii="Arial" w:hAnsi="Arial"/>
          <w:color w:val="000000"/>
          <w:sz w:val="24"/>
        </w:rPr>
        <w:t>1.4 “Work Product” means Employee’s works of authorship, discoveries, inventions and innovations resulting from his/her Services, and any Confidential Information and/or Trade Secrets originated or prepared by Employee for, or in the performance of, the Services.</w:t>
      </w:r>
    </w:p>
    <w:p>
      <w:pPr>
        <w:pStyle w:val="TextBody"/>
        <w:bidi w:val="0"/>
        <w:spacing w:before="0" w:after="0"/>
        <w:jc w:val="both"/>
        <w:rPr>
          <w:rFonts w:ascii="Arial" w:hAnsi="Arial"/>
          <w:color w:val="000000"/>
          <w:sz w:val="24"/>
        </w:rPr>
      </w:pPr>
      <w:r>
        <w:rPr>
          <w:rFonts w:ascii="Arial" w:hAnsi="Arial"/>
          <w:color w:val="000000"/>
          <w:sz w:val="24"/>
        </w:rPr>
        <w:t>2</w:t>
      </w:r>
    </w:p>
    <w:p>
      <w:pPr>
        <w:pStyle w:val="TextBody"/>
        <w:bidi w:val="0"/>
        <w:jc w:val="both"/>
        <w:rPr/>
      </w:pPr>
      <w:r>
        <w:rPr>
          <w:rFonts w:ascii="Arial" w:hAnsi="Arial"/>
          <w:color w:val="000000"/>
          <w:sz w:val="24"/>
          <w:u w:val="single"/>
        </w:rPr>
        <w:t>Proprietary Interest &amp; Rights</w:t>
      </w:r>
      <w:r>
        <w:rPr>
          <w:rFonts w:ascii="Arial" w:hAnsi="Arial"/>
          <w:color w:val="000000"/>
          <w:sz w:val="24"/>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4"/>
        </w:rPr>
        <w:t xml:space="preserve">2.1. </w:t>
      </w:r>
      <w:r>
        <w:rPr>
          <w:rFonts w:ascii="Arial" w:hAnsi="Arial"/>
          <w:color w:val="000000"/>
          <w:sz w:val="24"/>
          <w:u w:val="single"/>
        </w:rPr>
        <w:t>Acknowledgment of Company’s Proprietary Interest</w:t>
      </w:r>
      <w:r>
        <w:rPr>
          <w:rFonts w:ascii="Arial" w:hAnsi="Arial"/>
          <w:color w:val="000000"/>
          <w:sz w:val="24"/>
        </w:rPr>
        <w:t>. Employee acknowledges and agrees that any and all Confidential Information and Trade Secrets, whether developed by Employee alone or in conjunction with others, or by other Company employees, or otherwise acquired by the Company, is the sole and exclusive property of the Company. Employee hereby disclaims any proprietary interest in any such Confidential Information and/or Trade Secrets.</w:t>
      </w:r>
    </w:p>
    <w:p>
      <w:pPr>
        <w:pStyle w:val="TextBody"/>
        <w:bidi w:val="0"/>
        <w:spacing w:before="0" w:after="240"/>
        <w:jc w:val="both"/>
        <w:rPr>
          <w:rFonts w:ascii="Times New Roman" w:hAnsi="Times New Roman"/>
          <w:sz w:val="20"/>
        </w:rPr>
      </w:pPr>
      <w:r>
        <w:rPr>
          <w:rFonts w:ascii="Arial" w:hAnsi="Arial"/>
          <w:color w:val="000000"/>
          <w:sz w:val="24"/>
        </w:rPr>
        <w:t xml:space="preserve">2.2 </w:t>
      </w:r>
      <w:r>
        <w:rPr>
          <w:rFonts w:ascii="Arial" w:hAnsi="Arial"/>
          <w:color w:val="000000"/>
          <w:sz w:val="24"/>
          <w:u w:val="single"/>
        </w:rPr>
        <w:t>Rights to Confidential Information, Trade Secrets and Work Product</w:t>
      </w:r>
      <w:r>
        <w:rPr>
          <w:rFonts w:ascii="Arial" w:hAnsi="Arial"/>
          <w:color w:val="000000"/>
          <w:sz w:val="24"/>
        </w:rPr>
        <w:t>. Employee acknowledges and agrees that all Confidential Information and Trade Secrets shall remain the exclusive property of the Company. Employee is authorized to use Confidential Information and Trade Secrets solely to perform Services for the benefit of the Company. No license, express or implied, to use any of the Company’s Confidential Information or Trade Secrets is granted under this Agreement.</w:t>
      </w:r>
    </w:p>
    <w:p>
      <w:pPr>
        <w:pStyle w:val="TextBody"/>
        <w:bidi w:val="0"/>
        <w:spacing w:before="0" w:after="240"/>
        <w:jc w:val="both"/>
        <w:rPr>
          <w:rFonts w:ascii="Times New Roman" w:hAnsi="Times New Roman"/>
          <w:sz w:val="20"/>
        </w:rPr>
      </w:pPr>
      <w:r>
        <w:rPr>
          <w:rFonts w:ascii="Arial" w:hAnsi="Arial"/>
          <w:color w:val="000000"/>
          <w:sz w:val="24"/>
        </w:rPr>
        <w:t xml:space="preserve">2.3. </w:t>
      </w:r>
      <w:r>
        <w:rPr>
          <w:rFonts w:ascii="Arial" w:hAnsi="Arial"/>
          <w:color w:val="000000"/>
          <w:sz w:val="24"/>
          <w:u w:val="single"/>
        </w:rPr>
        <w:t>Works Made for Hire.</w:t>
      </w:r>
      <w:r>
        <w:rPr>
          <w:rFonts w:ascii="Times New Roman" w:hAnsi="Times New Roman"/>
          <w:color w:val="000000"/>
          <w:sz w:val="20"/>
        </w:rPr>
        <w:t xml:space="preserve"> </w:t>
      </w:r>
      <w:r>
        <w:rPr>
          <w:rFonts w:ascii="Arial" w:hAnsi="Arial"/>
          <w:color w:val="000000"/>
          <w:sz w:val="24"/>
        </w:rPr>
        <w:t>Employee and the Company agree that all Work Product, including any work of authorship, including but not limited to any computer program, source code, processes, techniques, or software, is a “work made for hire” within the meaning of Section 101 of Title 17 of the United States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4"/>
        </w:rPr>
        <w:t xml:space="preserve">2.4. </w:t>
      </w:r>
      <w:r>
        <w:rPr>
          <w:rFonts w:ascii="Arial" w:hAnsi="Arial"/>
          <w:color w:val="000000"/>
          <w:sz w:val="24"/>
          <w:u w:val="single"/>
        </w:rPr>
        <w:t>Assignment of Work Product</w:t>
      </w:r>
      <w:r>
        <w:rPr>
          <w:rFonts w:ascii="Arial" w:hAnsi="Arial"/>
          <w:color w:val="000000"/>
          <w:sz w:val="24"/>
        </w:rPr>
        <w:t>. All Work Product shall be promptly communicated to the Company. Employee hereby assigns to the Company all of Employee’s rights, title and interest in and to all Work Product created in, arising from, or based on Confidential Information and/or Trade Secrets developed during the performance of the Services or provided to Employee during employment with the Company, and to any and all intellectual property rights, including but not limited to, patents, copyrights or trademarks which have been or may be obtained with respect to such Work Product, effective immediately upon origination, creation, preparation or discovery thereof and regardless of the medium of expression thereof. Whenever requested, Employee immediately shall execute a confirmatory assignment of any particular items(s) of Work Product in a form satisfactory to the Company, shall testify in all legal proceedings, sign all lawful papers and otherwise perform all acts necessary or appropriate to enable the Company and its successors and assigns to obtain and document the Company’s ownership of all Work Product and enforce all available legal protections for all such Work Product in all countries.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4"/>
        </w:rPr>
        <w:t xml:space="preserve">2.5 </w:t>
      </w:r>
      <w:r>
        <w:rPr>
          <w:rFonts w:ascii="Arial" w:hAnsi="Arial"/>
          <w:color w:val="000000"/>
          <w:sz w:val="24"/>
          <w:u w:val="single"/>
        </w:rPr>
        <w:t>Exclusion Notice</w:t>
      </w:r>
      <w:r>
        <w:rPr>
          <w:rFonts w:ascii="Arial" w:hAnsi="Arial"/>
          <w:color w:val="000000"/>
          <w:sz w:val="24"/>
        </w:rPr>
        <w:t>. Pursuant to California Labor Code section 2870, the assignment by Employee of inventions under this Agreement does not apply to 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4"/>
        </w:rPr>
      </w:pPr>
      <w:r>
        <w:rPr>
          <w:rFonts w:ascii="Arial" w:hAnsi="Arial"/>
          <w:color w:val="000000"/>
          <w:sz w:val="24"/>
        </w:rPr>
        <w:t>inventions to which all of the following are applicable: (a) no equipment, supplies, facility, or trade secret information of Company were used; (b) the invention or idea does not relate to the business of Company; (c) the invention or idea does not relate to Company’s actual or demonstrably anticipated research or development; (d) the invention or idea does not result from any work performed by Employee for Company; and (e) no part of the invention was developed during times Employee was performing work for the Company.</w:t>
      </w:r>
    </w:p>
    <w:p>
      <w:pPr>
        <w:pStyle w:val="TextBody"/>
        <w:bidi w:val="0"/>
        <w:spacing w:before="0" w:after="240"/>
        <w:jc w:val="both"/>
        <w:rPr/>
      </w:pPr>
      <w:r>
        <w:rPr/>
        <w:t> </w:t>
      </w:r>
    </w:p>
    <w:p>
      <w:pPr>
        <w:pStyle w:val="TextBody"/>
        <w:bidi w:val="0"/>
        <w:jc w:val="both"/>
        <w:rPr/>
      </w:pPr>
      <w:r>
        <w:rPr/>
        <w:t> </w:t>
      </w:r>
    </w:p>
    <w:p>
      <w:pPr>
        <w:pStyle w:val="TextBody"/>
        <w:bidi w:val="0"/>
        <w:spacing w:before="240" w:after="283"/>
        <w:jc w:val="both"/>
        <w:rPr/>
      </w:pPr>
      <w:r>
        <w:rPr/>
        <w:t> </w:t>
      </w:r>
    </w:p>
    <w:p>
      <w:pPr>
        <w:pStyle w:val="TextBody"/>
        <w:bidi w:val="0"/>
        <w:spacing w:before="0" w:after="0"/>
        <w:jc w:val="both"/>
        <w:rPr>
          <w:rFonts w:ascii="Arial" w:hAnsi="Arial"/>
          <w:color w:val="000000"/>
          <w:sz w:val="24"/>
        </w:rPr>
      </w:pPr>
      <w:r>
        <w:rPr>
          <w:rFonts w:ascii="Arial" w:hAnsi="Arial"/>
          <w:color w:val="000000"/>
          <w:sz w:val="24"/>
        </w:rPr>
        <w:t>3.</w:t>
      </w:r>
    </w:p>
    <w:p>
      <w:pPr>
        <w:pStyle w:val="TextBody"/>
        <w:bidi w:val="0"/>
        <w:jc w:val="both"/>
        <w:rPr/>
      </w:pPr>
      <w:r>
        <w:rPr>
          <w:rFonts w:ascii="Arial" w:hAnsi="Arial"/>
          <w:color w:val="000000"/>
          <w:sz w:val="24"/>
          <w:u w:val="single"/>
        </w:rPr>
        <w:t>Protection of Confidential Information and Trade Secrets</w:t>
      </w:r>
      <w:r>
        <w:rPr>
          <w:rFonts w:ascii="Arial" w:hAnsi="Arial"/>
          <w:color w:val="000000"/>
          <w:sz w:val="24"/>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 xml:space="preserve">3.1 </w:t>
      </w:r>
      <w:r>
        <w:rPr>
          <w:rFonts w:ascii="Arial" w:hAnsi="Arial"/>
          <w:color w:val="000000"/>
          <w:sz w:val="24"/>
          <w:u w:val="single"/>
        </w:rPr>
        <w:t>Use or Disclosure.</w:t>
      </w:r>
      <w:r>
        <w:rPr>
          <w:rFonts w:ascii="Times New Roman" w:hAnsi="Times New Roman"/>
          <w:color w:val="000000"/>
          <w:sz w:val="20"/>
        </w:rPr>
        <w:t xml:space="preserve"> </w:t>
      </w:r>
      <w:r>
        <w:rPr>
          <w:rFonts w:ascii="Arial" w:hAnsi="Arial"/>
          <w:color w:val="000000"/>
          <w:sz w:val="24"/>
        </w:rPr>
        <w:t>Employee acknowledges and agrees that the Company is entitled to prevent the unauthorized use and disclosure of its Confidential Information and Trade Secrets. As part of the consideration for Employee’s employment and for the compensation being paid to Employee by the Company, Employee agrees that at all times during the term of his/her employment by the Company, and indefinitely thereafter, Employee will hold in strictest confidence, and will not directly or indirectly use, disclose or allow to be disclosed to any person, firm, or corporation, the Company’s Confidential Information and Trade Secrets, unless previously authorized by the Company for use in the pursuit of Company business, and for the benefit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3.2 </w:t>
      </w:r>
      <w:r>
        <w:rPr>
          <w:rFonts w:ascii="Arial" w:hAnsi="Arial"/>
          <w:color w:val="000000"/>
          <w:sz w:val="24"/>
          <w:u w:val="single"/>
        </w:rPr>
        <w:t>Adverse Use.</w:t>
      </w:r>
      <w:r>
        <w:rPr>
          <w:rFonts w:ascii="Times New Roman" w:hAnsi="Times New Roman"/>
          <w:color w:val="000000"/>
          <w:sz w:val="20"/>
        </w:rPr>
        <w:t xml:space="preserve"> </w:t>
      </w:r>
      <w:r>
        <w:rPr>
          <w:rFonts w:ascii="Arial" w:hAnsi="Arial"/>
          <w:color w:val="000000"/>
          <w:sz w:val="24"/>
        </w:rPr>
        <w:t>Employee will not at any time use any of the Company’s Confidential Information or Trade Secrets in any manner that may directly or indirectly have an adverse effect upon the Company’s business, nor will Employee perform any acts that would tend to reduce the value of the Company’s Confidential Information or Trade Secret.</w:t>
      </w:r>
      <w:r>
        <w:rPr>
          <w:rFonts w:ascii="Times New Roman" w:hAnsi="Times New Roman"/>
          <w:color w:val="000000"/>
          <w:sz w:val="20"/>
        </w:rPr>
        <w:t xml:space="preserve"> </w:t>
      </w:r>
    </w:p>
    <w:p>
      <w:pPr>
        <w:pStyle w:val="TextBody"/>
        <w:bidi w:val="0"/>
        <w:spacing w:before="0" w:after="0"/>
        <w:jc w:val="both"/>
        <w:rPr>
          <w:rFonts w:ascii="Arial" w:hAnsi="Arial"/>
          <w:color w:val="000000"/>
          <w:sz w:val="24"/>
        </w:rPr>
      </w:pPr>
      <w:r>
        <w:rPr>
          <w:rFonts w:ascii="Arial" w:hAnsi="Arial"/>
          <w:color w:val="000000"/>
          <w:sz w:val="24"/>
        </w:rPr>
        <w:t>4.</w:t>
      </w:r>
    </w:p>
    <w:p>
      <w:pPr>
        <w:pStyle w:val="TextBody"/>
        <w:bidi w:val="0"/>
        <w:jc w:val="both"/>
        <w:rPr/>
      </w:pPr>
      <w:r>
        <w:rPr>
          <w:rFonts w:ascii="Arial" w:hAnsi="Arial"/>
          <w:color w:val="000000"/>
          <w:sz w:val="24"/>
          <w:u w:val="single"/>
        </w:rPr>
        <w:t>Property of the Business.</w:t>
      </w:r>
      <w:r>
        <w:rPr>
          <w:color w:val="000000"/>
        </w:rPr>
        <w:t xml:space="preserve"> </w:t>
      </w:r>
      <w:r>
        <w:rPr>
          <w:rFonts w:ascii="Arial" w:hAnsi="Arial"/>
          <w:color w:val="000000"/>
          <w:sz w:val="24"/>
        </w:rPr>
        <w:t>All files, documents, plans, memoranda, notes, lists, records, contracts and other documents or papers (and all copies thereof) relating to the Company’s business, including such items stored in computer memories, on computer disks or by any other means, made or compiled by or on behalf of the Employee or the Company or made available to them relating to the Company’s business, are and shall be the Company’s property and may not be copied or removed from the Company’s premises (either physically or electronically), unless expressly approved by a duly authorized representative of the Company.</w:t>
      </w:r>
    </w:p>
    <w:p>
      <w:pPr>
        <w:pStyle w:val="TextBody"/>
        <w:bidi w:val="0"/>
        <w:jc w:val="left"/>
        <w:rPr/>
      </w:pPr>
      <w:r>
        <w:rPr/>
        <w:t> </w:t>
      </w:r>
    </w:p>
    <w:p>
      <w:pPr>
        <w:pStyle w:val="TextBody"/>
        <w:bidi w:val="0"/>
        <w:spacing w:before="0" w:after="0"/>
        <w:jc w:val="both"/>
        <w:rPr>
          <w:rFonts w:ascii="Arial" w:hAnsi="Arial"/>
          <w:color w:val="000000"/>
          <w:sz w:val="24"/>
        </w:rPr>
      </w:pPr>
      <w:r>
        <w:rPr>
          <w:rFonts w:ascii="Arial" w:hAnsi="Arial"/>
          <w:color w:val="000000"/>
          <w:sz w:val="24"/>
        </w:rPr>
        <w:t>5.</w:t>
      </w:r>
    </w:p>
    <w:p>
      <w:pPr>
        <w:pStyle w:val="TextBody"/>
        <w:bidi w:val="0"/>
        <w:jc w:val="both"/>
        <w:rPr/>
      </w:pPr>
      <w:r>
        <w:rPr>
          <w:rFonts w:ascii="Arial" w:hAnsi="Arial"/>
          <w:color w:val="000000"/>
          <w:sz w:val="24"/>
          <w:u w:val="single"/>
        </w:rPr>
        <w:t>Third Party Trade Secrets</w:t>
      </w:r>
      <w:r>
        <w:rPr>
          <w:rFonts w:ascii="Arial" w:hAnsi="Arial"/>
          <w:color w:val="000000"/>
          <w:sz w:val="24"/>
        </w:rPr>
        <w:t xml:space="preserve">. Employee will not disclose to the Company or use in his/her work any Trade Secrets or inventions of his/her former employers or any third party which Employee is not lawfully entitled to disclose or use. Employee agrees to disclose to the Company, on Attachment “A” hereto, all agreements now in effect under which Employee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has agreed to maintain the confidentiality of the information of, or to not compete with, a third party.</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6.</w:t>
      </w:r>
    </w:p>
    <w:p>
      <w:pPr>
        <w:pStyle w:val="TextBody"/>
        <w:bidi w:val="0"/>
        <w:spacing w:before="0" w:after="240"/>
        <w:jc w:val="both"/>
        <w:rPr/>
      </w:pPr>
      <w:r>
        <w:rPr>
          <w:rFonts w:ascii="Arial" w:hAnsi="Arial"/>
          <w:color w:val="000000"/>
          <w:sz w:val="24"/>
          <w:u w:val="single"/>
        </w:rPr>
        <w:t>Restrictions During Employment</w:t>
      </w:r>
      <w:r>
        <w:rPr>
          <w:rFonts w:ascii="Arial" w:hAnsi="Arial"/>
          <w:color w:val="000000"/>
          <w:sz w:val="24"/>
        </w:rPr>
        <w:t xml:space="preserve">. </w:t>
      </w:r>
    </w:p>
    <w:p>
      <w:pPr>
        <w:pStyle w:val="TextBody"/>
        <w:bidi w:val="0"/>
        <w:spacing w:before="0" w:after="120"/>
        <w:jc w:val="left"/>
        <w:rPr>
          <w:rFonts w:ascii="Times New Roman" w:hAnsi="Times New Roman"/>
          <w:sz w:val="20"/>
        </w:rPr>
      </w:pPr>
      <w:r>
        <w:rPr>
          <w:rFonts w:ascii="Arial" w:hAnsi="Arial"/>
          <w:color w:val="000000"/>
          <w:sz w:val="24"/>
        </w:rPr>
        <w:t xml:space="preserve">6.1 </w:t>
      </w:r>
      <w:r>
        <w:rPr>
          <w:rFonts w:ascii="Arial" w:hAnsi="Arial"/>
          <w:color w:val="000000"/>
          <w:sz w:val="24"/>
          <w:u w:val="single"/>
        </w:rPr>
        <w:t>Non-Solicitation.</w:t>
      </w:r>
      <w:r>
        <w:rPr>
          <w:rFonts w:ascii="Times New Roman" w:hAnsi="Times New Roman"/>
          <w:color w:val="000000"/>
          <w:sz w:val="20"/>
        </w:rPr>
        <w:t xml:space="preserve"> </w:t>
      </w:r>
      <w:r>
        <w:rPr>
          <w:rFonts w:ascii="Arial" w:hAnsi="Arial"/>
          <w:color w:val="000000"/>
          <w:sz w:val="24"/>
        </w:rPr>
        <w:t>Employee agrees that during his/her employment with the Company, Employee will not directly or indirectly divert or attempt to divert clients’ or potential clients’ business from the Company, nor will Employee directly or indirectly, solicit, induce or attempt to solicit or induce any employee of the Company to accept employment outside of the Company.</w:t>
      </w:r>
    </w:p>
    <w:p>
      <w:pPr>
        <w:pStyle w:val="TextBody"/>
        <w:bidi w:val="0"/>
        <w:spacing w:before="0" w:after="120"/>
        <w:jc w:val="left"/>
        <w:rPr>
          <w:rFonts w:ascii="Times New Roman" w:hAnsi="Times New Roman"/>
          <w:sz w:val="20"/>
        </w:rPr>
      </w:pPr>
      <w:r>
        <w:rPr>
          <w:rFonts w:ascii="Arial" w:hAnsi="Arial"/>
          <w:color w:val="000000"/>
          <w:sz w:val="24"/>
        </w:rPr>
        <w:t xml:space="preserve">6.2 </w:t>
      </w:r>
      <w:r>
        <w:rPr>
          <w:rFonts w:ascii="Arial" w:hAnsi="Arial"/>
          <w:color w:val="000000"/>
          <w:sz w:val="24"/>
          <w:u w:val="single"/>
        </w:rPr>
        <w:t>Non-Competition.</w:t>
      </w:r>
      <w:r>
        <w:rPr>
          <w:rFonts w:ascii="Times New Roman" w:hAnsi="Times New Roman"/>
          <w:color w:val="000000"/>
          <w:sz w:val="20"/>
        </w:rPr>
        <w:t xml:space="preserve"> </w:t>
      </w:r>
      <w:r>
        <w:rPr>
          <w:rFonts w:ascii="Arial" w:hAnsi="Arial"/>
          <w:color w:val="000000"/>
          <w:sz w:val="24"/>
        </w:rPr>
        <w:t>Employee acknowledges and agrees that during the term of this Agreement (which for purposes of this paragraph shall be deemed to include any period for which Employee continues to be paid following termination or resignation), he/she will not, anywhere in the world, directly or indirectly, acting individually or as the owner, shareholder, partner, consultant, independent contractor or employee of any entity, compete with the Company in any way, or act as an officer, director, employee, consultant, lender, or agent of any person or entity that is engaged in any business of the same nature as, or in competition with, the business in which the Company is now engaged or in which the Company becomes engaged during the term of Employee’s employment.</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spacing w:before="0" w:after="240"/>
        <w:jc w:val="both"/>
        <w:rPr>
          <w:rFonts w:ascii="Arial" w:hAnsi="Arial"/>
          <w:color w:val="000000"/>
          <w:sz w:val="24"/>
        </w:rPr>
      </w:pPr>
      <w:r>
        <w:rPr>
          <w:rFonts w:ascii="Arial" w:hAnsi="Arial"/>
          <w:color w:val="000000"/>
          <w:sz w:val="24"/>
        </w:rPr>
        <w:t>7.</w:t>
      </w:r>
    </w:p>
    <w:p>
      <w:pPr>
        <w:pStyle w:val="TextBody"/>
        <w:bidi w:val="0"/>
        <w:spacing w:before="0" w:after="240"/>
        <w:jc w:val="both"/>
        <w:rPr/>
      </w:pPr>
      <w:r>
        <w:rPr>
          <w:rFonts w:ascii="Arial" w:hAnsi="Arial"/>
          <w:color w:val="000000"/>
          <w:sz w:val="24"/>
          <w:u w:val="single"/>
        </w:rPr>
        <w:t>Business Opportunities</w:t>
      </w:r>
      <w:r>
        <w:rPr>
          <w:rFonts w:ascii="Arial" w:hAnsi="Arial"/>
          <w:color w:val="000000"/>
          <w:sz w:val="24"/>
        </w:rPr>
        <w:t>. Employee will promptly disclose to the Company any business opportunity of which Employee becomes aware during his/her employment with the Company and (i) which relates to any products or services planned, under development, developed, produced or marketed by the Company or (ii) of which Employee becomes aware in the course of or as a result of his/her employment with the Company. Employee will not take advantage of or divert any such opportunity for his/her own gain, profit or benefit, or any other person or entity without the written consent of the Company.</w:t>
      </w:r>
    </w:p>
    <w:p>
      <w:pPr>
        <w:pStyle w:val="TextBody"/>
        <w:bidi w:val="0"/>
        <w:spacing w:before="0" w:after="0"/>
        <w:jc w:val="both"/>
        <w:rPr>
          <w:rFonts w:ascii="Arial" w:hAnsi="Arial"/>
          <w:color w:val="000000"/>
          <w:sz w:val="24"/>
        </w:rPr>
      </w:pPr>
      <w:r>
        <w:rPr>
          <w:rFonts w:ascii="Arial" w:hAnsi="Arial"/>
          <w:color w:val="000000"/>
          <w:sz w:val="24"/>
        </w:rPr>
        <w:t>8.</w:t>
      </w:r>
    </w:p>
    <w:p>
      <w:pPr>
        <w:pStyle w:val="TextBody"/>
        <w:bidi w:val="0"/>
        <w:jc w:val="both"/>
        <w:rPr>
          <w:rFonts w:ascii="Arial" w:hAnsi="Arial"/>
          <w:color w:val="000000"/>
          <w:sz w:val="24"/>
          <w:u w:val="single"/>
        </w:rPr>
      </w:pPr>
      <w:r>
        <w:rPr>
          <w:rFonts w:ascii="Arial" w:hAnsi="Arial"/>
          <w:color w:val="000000"/>
          <w:sz w:val="24"/>
          <w:u w:val="single"/>
        </w:rPr>
        <w:t xml:space="preserve">Post-Employment Restrictions.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8.1 </w:t>
      </w:r>
      <w:r>
        <w:rPr>
          <w:rFonts w:ascii="Arial" w:hAnsi="Arial"/>
          <w:color w:val="000000"/>
          <w:sz w:val="24"/>
          <w:u w:val="single"/>
        </w:rPr>
        <w:t>Non-Solicitation of Employees</w:t>
      </w:r>
      <w:r>
        <w:rPr>
          <w:rFonts w:ascii="Arial" w:hAnsi="Arial"/>
          <w:color w:val="000000"/>
          <w:sz w:val="24"/>
        </w:rPr>
        <w:t>. For a period of one year following the end, for whatever reason, of Employee’s employment with the Company, Employee shall not, directly or indirectly, induce or attempt to induce, any employee of the Company to end or diminish his/her relationship with the Company, or solicit or attempt to solicit any Company employee for outside employment. Employee shall also not provide any information about the Company’s employees to any other person for the purpose of assisting any third party to solicit the Company’s employees for outside employment.</w:t>
      </w:r>
    </w:p>
    <w:p>
      <w:pPr>
        <w:pStyle w:val="TextBody"/>
        <w:bidi w:val="0"/>
        <w:jc w:val="both"/>
        <w:rPr/>
      </w:pPr>
      <w:r>
        <w:rPr/>
        <w:t> </w:t>
      </w:r>
    </w:p>
    <w:p>
      <w:pPr>
        <w:pStyle w:val="TextBody"/>
        <w:bidi w:val="0"/>
        <w:spacing w:before="0" w:after="120"/>
        <w:jc w:val="left"/>
        <w:rPr>
          <w:rFonts w:ascii="Times New Roman" w:hAnsi="Times New Roman"/>
          <w:sz w:val="20"/>
        </w:rPr>
      </w:pPr>
      <w:r>
        <w:rPr>
          <w:rFonts w:ascii="Arial" w:hAnsi="Arial"/>
          <w:color w:val="000000"/>
          <w:sz w:val="24"/>
        </w:rPr>
        <w:t xml:space="preserve">8.2 </w:t>
      </w:r>
      <w:r>
        <w:rPr>
          <w:rFonts w:ascii="Arial" w:hAnsi="Arial"/>
          <w:color w:val="000000"/>
          <w:sz w:val="24"/>
          <w:u w:val="single"/>
        </w:rPr>
        <w:t>Scope of Restrictions</w:t>
      </w:r>
      <w:r>
        <w:rPr>
          <w:rFonts w:ascii="Arial" w:hAnsi="Arial"/>
          <w:color w:val="000000"/>
          <w:sz w:val="24"/>
        </w:rPr>
        <w:t>. Employee acknowledges and represents that the scope of the restrictions contained in this Agreement are appropriate, necessary and reasonable, and are solely for the protection of the Company’s business, goodwill and property rights.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9.</w:t>
      </w:r>
    </w:p>
    <w:p>
      <w:pPr>
        <w:pStyle w:val="TextBody"/>
        <w:bidi w:val="0"/>
        <w:spacing w:before="0" w:after="240"/>
        <w:jc w:val="both"/>
        <w:rPr/>
      </w:pPr>
      <w:r>
        <w:rPr>
          <w:rFonts w:ascii="Arial" w:hAnsi="Arial"/>
          <w:color w:val="000000"/>
          <w:sz w:val="24"/>
          <w:u w:val="single"/>
        </w:rPr>
        <w:t>Return of Materials at Termination</w:t>
      </w:r>
      <w:r>
        <w:rPr>
          <w:rFonts w:ascii="Arial" w:hAnsi="Arial"/>
          <w:color w:val="000000"/>
          <w:sz w:val="24"/>
        </w:rPr>
        <w:t>. Immediately upon the separation of Employee’s employment for any reason, Employee will deliver to Company all documents, data, and other information pertaining to the Company’s business, clients, suppliers, products or services, and any other Confidential Information or Trade Secrets that Employee has in his/her possession or under his/her control; and Employee shall not remove (either physically or electronically) any such documents or information from Company premises or computers.</w:t>
      </w:r>
    </w:p>
    <w:p>
      <w:pPr>
        <w:pStyle w:val="TextBody"/>
        <w:bidi w:val="0"/>
        <w:spacing w:before="0" w:after="0"/>
        <w:jc w:val="both"/>
        <w:rPr>
          <w:rFonts w:ascii="Arial" w:hAnsi="Arial"/>
          <w:color w:val="000000"/>
          <w:sz w:val="24"/>
        </w:rPr>
      </w:pPr>
      <w:r>
        <w:rPr>
          <w:rFonts w:ascii="Arial" w:hAnsi="Arial"/>
          <w:color w:val="000000"/>
          <w:sz w:val="24"/>
        </w:rPr>
        <w:t>10.</w:t>
      </w:r>
    </w:p>
    <w:p>
      <w:pPr>
        <w:pStyle w:val="TextBody"/>
        <w:bidi w:val="0"/>
        <w:jc w:val="both"/>
        <w:rPr/>
      </w:pPr>
      <w:r>
        <w:rPr>
          <w:rFonts w:ascii="Arial" w:hAnsi="Arial"/>
          <w:color w:val="000000"/>
          <w:sz w:val="24"/>
          <w:u w:val="single"/>
        </w:rPr>
        <w:t>Cooperation.</w:t>
      </w:r>
      <w:r>
        <w:rPr>
          <w:color w:val="000000"/>
        </w:rPr>
        <w:t xml:space="preserve"> </w:t>
      </w:r>
      <w:r>
        <w:rPr>
          <w:rFonts w:ascii="Arial" w:hAnsi="Arial"/>
          <w:color w:val="000000"/>
          <w:sz w:val="24"/>
        </w:rPr>
        <w:t xml:space="preserve">During Employee’s employment, Employee will gain knowledge of specific projects and issues related to Company’s business. Employee agrees to cooperate with the Company, after termination, in any threatened or pending litigation against the Company related to issues with which Employee became familiar. The Company agrees to provide Employee with reasonable compensation for Employee’s time in providing cooperation and assistance. Nothing in this provision should be interpreted to require anything other than Employee’s honest and complete information regarding such matters. </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11.</w:t>
      </w:r>
    </w:p>
    <w:p>
      <w:pPr>
        <w:pStyle w:val="TextBody"/>
        <w:bidi w:val="0"/>
        <w:spacing w:before="0" w:after="240"/>
        <w:jc w:val="both"/>
        <w:rPr/>
      </w:pPr>
      <w:r>
        <w:rPr>
          <w:rFonts w:ascii="Arial" w:hAnsi="Arial"/>
          <w:color w:val="000000"/>
          <w:sz w:val="24"/>
          <w:u w:val="single"/>
        </w:rPr>
        <w:t>Remedies for Breach</w:t>
      </w:r>
      <w:r>
        <w:rPr>
          <w:rFonts w:ascii="Arial" w:hAnsi="Arial"/>
          <w:color w:val="000000"/>
          <w:sz w:val="24"/>
        </w:rPr>
        <w:t xml:space="preserve">. </w:t>
      </w:r>
    </w:p>
    <w:p>
      <w:pPr>
        <w:pStyle w:val="TextBody"/>
        <w:bidi w:val="0"/>
        <w:jc w:val="left"/>
        <w:rPr>
          <w:rFonts w:ascii="Times New Roman" w:hAnsi="Times New Roman"/>
          <w:sz w:val="20"/>
        </w:rPr>
      </w:pPr>
      <w:r>
        <w:rPr>
          <w:rFonts w:ascii="Times New Roman" w:hAnsi="Times New Roman"/>
          <w:color w:val="000000"/>
          <w:sz w:val="24"/>
          <w:u w:val="single"/>
        </w:rPr>
        <w:t>Injunctive Relief.</w:t>
      </w:r>
      <w:r>
        <w:rPr>
          <w:rFonts w:ascii="Times New Roman" w:hAnsi="Times New Roman"/>
          <w:color w:val="000000"/>
          <w:sz w:val="20"/>
        </w:rPr>
        <w:t xml:space="preserve"> </w:t>
      </w:r>
      <w:r>
        <w:rPr>
          <w:rFonts w:ascii="Times New Roman" w:hAnsi="Times New Roman"/>
          <w:color w:val="000000"/>
          <w:sz w:val="24"/>
        </w:rPr>
        <w:t>Employee acknowledges that any breach of this Agreement will cause irreparable injury to the Company. Accordingly, in the event of such breach or an impending breach, the Company shall be entitled to obtain injunctive and other equitable relief from a court in addition to, and not in lieu of, the right to seek liquidated or actual damages and any other right or remedy afforded to the Company by law or otherwise.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 xml:space="preserve">11.2. </w:t>
      </w:r>
      <w:r>
        <w:rPr>
          <w:rFonts w:ascii="Arial" w:hAnsi="Arial"/>
          <w:color w:val="000000"/>
          <w:sz w:val="24"/>
          <w:u w:val="single"/>
        </w:rPr>
        <w:t>Liquidated Damages.</w:t>
      </w:r>
      <w:r>
        <w:rPr>
          <w:rFonts w:ascii="Times New Roman" w:hAnsi="Times New Roman"/>
          <w:color w:val="000000"/>
          <w:sz w:val="20"/>
        </w:rPr>
        <w:t xml:space="preserve"> </w:t>
      </w:r>
      <w:r>
        <w:rPr>
          <w:rFonts w:ascii="Arial" w:hAnsi="Arial"/>
          <w:color w:val="000000"/>
          <w:sz w:val="24"/>
        </w:rPr>
        <w:t>Due to the difficulty of quantifying and proving actual damages, in the event of Employee’s breach of his/her obligations not to use or disclose Confidential Information or Trade Secrets as provided in paragraph 3, or Employee’s breach of the Post-Employment Restrictions in paragraph 8, the Company shall be entitled to liquidated damages in the amount of Five Thousand Dollars ($5,000.00) for each such use, disclosure, or prohibited action. Notwithstanding the right to liquidated damages, the Company has the right to take any measures available and to claim and receive a higher amount of compensation if the Company can prove that the actual damage sustained will exceed the amount of liquidated damages.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11.3 </w:t>
      </w:r>
      <w:r>
        <w:rPr>
          <w:rFonts w:ascii="Arial" w:hAnsi="Arial"/>
          <w:color w:val="000000"/>
          <w:sz w:val="24"/>
          <w:u w:val="single"/>
        </w:rPr>
        <w:t>Attorneys’ Fees.</w:t>
      </w:r>
      <w:r>
        <w:rPr>
          <w:rFonts w:ascii="Times New Roman" w:hAnsi="Times New Roman"/>
          <w:color w:val="000000"/>
          <w:sz w:val="20"/>
        </w:rPr>
        <w:t xml:space="preserve"> </w:t>
      </w:r>
      <w:r>
        <w:rPr>
          <w:rFonts w:ascii="Arial" w:hAnsi="Arial"/>
          <w:color w:val="000000"/>
          <w:sz w:val="24"/>
        </w:rPr>
        <w:t>In the event of any litigation concerning any controversy, claim or dispute between Employee and the Company arising out of or relating to this Agreement, the prevailing party shall be entitled to recover from the losing party reasonable expenses, attorneys’ fees, and costs incurred therein or in the enforcement or collection of any judgment or award rendered therein. The “prevailing party” means the party determined by the court to have prevailed, even if such party did not prevail in all matters, not necessarily the one in whose favor a judgment is rendered. Further, in the event of any default by a party under this Agreement, such defaulting party shall pay all the expenses and attorneys’ fees incurred by the other party in connection with such default, whether or not any litigation is commenced. This provision is intended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to benefit the parties to this Agreement, and is not intended to create rights for any third parties.</w:t>
      </w:r>
    </w:p>
    <w:p>
      <w:pPr>
        <w:pStyle w:val="TextBody"/>
        <w:bidi w:val="0"/>
        <w:spacing w:before="0" w:after="0"/>
        <w:jc w:val="both"/>
        <w:rPr>
          <w:rFonts w:ascii="Arial" w:hAnsi="Arial"/>
          <w:color w:val="000000"/>
          <w:sz w:val="24"/>
        </w:rPr>
      </w:pPr>
      <w:r>
        <w:rPr>
          <w:rFonts w:ascii="Arial" w:hAnsi="Arial"/>
          <w:color w:val="000000"/>
          <w:sz w:val="24"/>
        </w:rPr>
        <w:t>12.</w:t>
      </w:r>
    </w:p>
    <w:p>
      <w:pPr>
        <w:pStyle w:val="TextBody"/>
        <w:bidi w:val="0"/>
        <w:jc w:val="both"/>
        <w:rPr/>
      </w:pPr>
      <w:r>
        <w:rPr>
          <w:rFonts w:ascii="Arial" w:hAnsi="Arial"/>
          <w:color w:val="000000"/>
          <w:sz w:val="24"/>
          <w:u w:val="single"/>
        </w:rPr>
        <w:t>Severability</w:t>
      </w:r>
      <w:r>
        <w:rPr>
          <w:rFonts w:ascii="Arial" w:hAnsi="Arial"/>
          <w:color w:val="000000"/>
          <w:sz w:val="24"/>
        </w:rPr>
        <w:t xml:space="preserve">. Employee expressly acknowledges that he/she has carefully read all of the terms of this Agreement and agrees that the Company has been induced to enter into its relationship with Employee upon Employee’s representations that he/she will abide and be bound by each of the terms and that each term is reasonable in its scope and duration. If for any reason any portion of this Agreement shall be held by a court of competent jurisdiction to be invalid or unenforceable, Employee agrees that the remaining portions of this Agreement shall remain in full force and effect and that, upon the request of the Company, the court shall construe any invalid or unenforceable portions in the manner that most closely reflects the effect and intent of the original language. </w:t>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13.</w:t>
      </w:r>
    </w:p>
    <w:p>
      <w:pPr>
        <w:pStyle w:val="TextBody"/>
        <w:bidi w:val="0"/>
        <w:spacing w:before="0" w:after="240"/>
        <w:jc w:val="both"/>
        <w:rPr/>
      </w:pPr>
      <w:r>
        <w:rPr>
          <w:rFonts w:ascii="Arial" w:hAnsi="Arial"/>
          <w:color w:val="000000"/>
          <w:sz w:val="24"/>
          <w:u w:val="single"/>
        </w:rPr>
        <w:t>Entire Agreement</w:t>
      </w:r>
      <w:r>
        <w:rPr>
          <w:rFonts w:ascii="Arial" w:hAnsi="Arial"/>
          <w:color w:val="000000"/>
          <w:sz w:val="24"/>
        </w:rPr>
        <w:t xml:space="preserve">. This Agreement sets forth the entire agreement of the parties regarding the subject matter described herein and may be amended only by a written document signed by Employee and an authorized representative of the Company. </w:t>
      </w:r>
    </w:p>
    <w:p>
      <w:pPr>
        <w:pStyle w:val="TextBody"/>
        <w:bidi w:val="0"/>
        <w:spacing w:before="0" w:after="240"/>
        <w:jc w:val="both"/>
        <w:rPr>
          <w:rFonts w:ascii="Arial" w:hAnsi="Arial"/>
          <w:color w:val="000000"/>
          <w:sz w:val="24"/>
        </w:rPr>
      </w:pPr>
      <w:r>
        <w:rPr>
          <w:rFonts w:ascii="Arial" w:hAnsi="Arial"/>
          <w:color w:val="000000"/>
          <w:sz w:val="24"/>
        </w:rPr>
        <w:t>14.</w:t>
      </w:r>
    </w:p>
    <w:p>
      <w:pPr>
        <w:pStyle w:val="TextBody"/>
        <w:bidi w:val="0"/>
        <w:spacing w:before="0" w:after="240"/>
        <w:jc w:val="both"/>
        <w:rPr/>
      </w:pPr>
      <w:r>
        <w:rPr>
          <w:rFonts w:ascii="Arial" w:hAnsi="Arial"/>
          <w:color w:val="000000"/>
          <w:sz w:val="24"/>
          <w:u w:val="single"/>
        </w:rPr>
        <w:t>Successors and Assigns</w:t>
      </w:r>
      <w:r>
        <w:rPr>
          <w:rFonts w:ascii="Arial" w:hAnsi="Arial"/>
          <w:color w:val="000000"/>
          <w:sz w:val="24"/>
        </w:rPr>
        <w:t>. This Agreement shall inure to the benefit of the Company and its successors and assigns and is binding upon Employee’s heirs and legal representatives. Employee may not assign any of Employee’s rights or obligations under this Agreement.</w:t>
      </w:r>
    </w:p>
    <w:p>
      <w:pPr>
        <w:pStyle w:val="TextBody"/>
        <w:bidi w:val="0"/>
        <w:spacing w:before="0" w:after="240"/>
        <w:jc w:val="both"/>
        <w:rPr>
          <w:rFonts w:ascii="Arial" w:hAnsi="Arial"/>
          <w:color w:val="000000"/>
          <w:sz w:val="24"/>
        </w:rPr>
      </w:pPr>
      <w:r>
        <w:rPr>
          <w:rFonts w:ascii="Arial" w:hAnsi="Arial"/>
          <w:color w:val="000000"/>
          <w:sz w:val="24"/>
        </w:rPr>
        <w:t>15.</w:t>
      </w:r>
    </w:p>
    <w:p>
      <w:pPr>
        <w:pStyle w:val="TextBody"/>
        <w:bidi w:val="0"/>
        <w:spacing w:before="0" w:after="240"/>
        <w:jc w:val="both"/>
        <w:rPr/>
      </w:pPr>
      <w:r>
        <w:rPr>
          <w:rFonts w:ascii="Arial" w:hAnsi="Arial"/>
          <w:color w:val="000000"/>
          <w:sz w:val="24"/>
          <w:u w:val="single"/>
        </w:rPr>
        <w:t>Choice of Law.</w:t>
      </w:r>
      <w:r>
        <w:rPr>
          <w:color w:val="000000"/>
        </w:rPr>
        <w:t xml:space="preserve"> </w:t>
      </w:r>
      <w:r>
        <w:rPr>
          <w:rFonts w:ascii="Arial" w:hAnsi="Arial"/>
          <w:color w:val="000000"/>
          <w:sz w:val="24"/>
        </w:rPr>
        <w:t>This Agreement shall be interpreted, construed, and enforced in accordance with the laws of the State of California without reference to its choice of law principles. Employee hereby irrevocably consents to the jurisdiction of the courts of the State of California with venue in San Diego County and of the United States District Court for the Southern District of California.</w:t>
      </w:r>
    </w:p>
    <w:p>
      <w:pPr>
        <w:pStyle w:val="TextBody"/>
        <w:bidi w:val="0"/>
        <w:spacing w:before="0" w:after="240"/>
        <w:jc w:val="both"/>
        <w:rPr>
          <w:rFonts w:ascii="Arial" w:hAnsi="Arial"/>
          <w:color w:val="000000"/>
          <w:sz w:val="24"/>
        </w:rPr>
      </w:pPr>
      <w:r>
        <w:rPr>
          <w:rFonts w:ascii="Arial" w:hAnsi="Arial"/>
          <w:color w:val="000000"/>
          <w:sz w:val="24"/>
        </w:rPr>
        <w:t>16.</w:t>
      </w:r>
    </w:p>
    <w:p>
      <w:pPr>
        <w:pStyle w:val="TextBody"/>
        <w:bidi w:val="0"/>
        <w:spacing w:before="0" w:after="240"/>
        <w:jc w:val="both"/>
        <w:rPr/>
      </w:pPr>
      <w:r>
        <w:rPr>
          <w:rFonts w:ascii="Arial" w:hAnsi="Arial"/>
          <w:color w:val="000000"/>
          <w:sz w:val="24"/>
          <w:u w:val="single"/>
        </w:rPr>
        <w:t>Waiver</w:t>
      </w:r>
      <w:r>
        <w:rPr>
          <w:rFonts w:ascii="Arial" w:hAnsi="Arial"/>
          <w:color w:val="000000"/>
          <w:sz w:val="24"/>
        </w:rPr>
        <w:t>. The Company’s failure to enforce any provision of the Agreement shall not in any way be construed as a waiver of any such provision nor shall it prevent the Company thereafter from enforcing each and every provision of this Agreement.</w:t>
      </w:r>
    </w:p>
    <w:p>
      <w:pPr>
        <w:pStyle w:val="TextBody"/>
        <w:bidi w:val="0"/>
        <w:spacing w:before="0" w:after="240"/>
        <w:jc w:val="both"/>
        <w:rPr>
          <w:rFonts w:ascii="Arial" w:hAnsi="Arial"/>
          <w:color w:val="000000"/>
          <w:sz w:val="24"/>
        </w:rPr>
      </w:pPr>
      <w:r>
        <w:rPr>
          <w:rFonts w:ascii="Arial" w:hAnsi="Arial"/>
          <w:color w:val="000000"/>
          <w:sz w:val="24"/>
        </w:rPr>
        <w:t>17.</w:t>
      </w:r>
    </w:p>
    <w:p>
      <w:pPr>
        <w:pStyle w:val="TextBody"/>
        <w:bidi w:val="0"/>
        <w:spacing w:before="0" w:after="240"/>
        <w:jc w:val="both"/>
        <w:rPr/>
      </w:pPr>
      <w:r>
        <w:rPr>
          <w:rFonts w:ascii="Arial" w:hAnsi="Arial"/>
          <w:color w:val="000000"/>
          <w:sz w:val="24"/>
          <w:u w:val="single"/>
        </w:rPr>
        <w:t>Acknowledgments</w:t>
      </w:r>
      <w:r>
        <w:rPr>
          <w:rFonts w:ascii="Arial" w:hAnsi="Arial"/>
          <w:color w:val="000000"/>
          <w:sz w:val="24"/>
        </w:rPr>
        <w:t>. Employee acknowledges that this Agreement is not an employment contract and that both the Company and employee are free to terminate their employment relationship at-will, with or without notice or cause.</w:t>
      </w:r>
    </w:p>
    <w:p>
      <w:pPr>
        <w:pStyle w:val="TextBody"/>
        <w:bidi w:val="0"/>
        <w:spacing w:before="0" w:after="240"/>
        <w:jc w:val="both"/>
        <w:rPr>
          <w:rFonts w:ascii="Arial" w:hAnsi="Arial"/>
          <w:color w:val="000000"/>
          <w:sz w:val="24"/>
        </w:rPr>
      </w:pPr>
      <w:r>
        <w:rPr>
          <w:rFonts w:ascii="Arial" w:hAnsi="Arial"/>
          <w:color w:val="000000"/>
          <w:sz w:val="24"/>
        </w:rPr>
        <w:t>18.</w:t>
      </w:r>
    </w:p>
    <w:p>
      <w:pPr>
        <w:pStyle w:val="TextBody"/>
        <w:bidi w:val="0"/>
        <w:spacing w:before="0" w:after="240"/>
        <w:jc w:val="both"/>
        <w:rPr/>
      </w:pPr>
      <w:r>
        <w:rPr>
          <w:rFonts w:ascii="Arial" w:hAnsi="Arial"/>
          <w:color w:val="000000"/>
          <w:sz w:val="24"/>
          <w:u w:val="single"/>
        </w:rPr>
        <w:t>Counterparts.</w:t>
      </w:r>
      <w:r>
        <w:rPr>
          <w:color w:val="000000"/>
        </w:rPr>
        <w:t xml:space="preserve"> </w:t>
      </w:r>
      <w:r>
        <w:rPr>
          <w:rFonts w:ascii="Arial" w:hAnsi="Arial"/>
          <w:color w:val="000000"/>
          <w:sz w:val="24"/>
        </w:rPr>
        <w:t xml:space="preserve">This Agreement may be executed in counterparts and shall be binding on all parties when each has signed either an original or copy of this Agreement.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THE PARTIES, HAVING READ THIS AGREEMENT AND UNDERSTANDING ITS TERMS, HEREBY AGREE TO BE LEGALLY BOUND BY ITS PROVISIONS.</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EQUITY TERMS</w:t>
      </w:r>
    </w:p>
    <w:tbl>
      <w:tblPr>
        <w:tblW w:w="10205" w:type="dxa"/>
        <w:jc w:val="left"/>
        <w:tblInd w:w="0" w:type="dxa"/>
        <w:tblLayout w:type="fixed"/>
        <w:tblCellMar>
          <w:top w:w="28" w:type="dxa"/>
          <w:left w:w="28" w:type="dxa"/>
          <w:bottom w:w="28" w:type="dxa"/>
          <w:right w:w="28" w:type="dxa"/>
        </w:tblCellMar>
      </w:tblPr>
      <w:tblGrid>
        <w:gridCol w:w="3961"/>
        <w:gridCol w:w="6244"/>
      </w:tblGrid>
      <w:tr>
        <w:trPr/>
        <w:tc>
          <w:tcPr>
            <w:tcW w:w="3961" w:type="dxa"/>
            <w:tcBorders/>
            <w:vAlign w:val="center"/>
          </w:tcPr>
          <w:p>
            <w:pPr>
              <w:pStyle w:val="TableContents"/>
              <w:bidi w:val="0"/>
              <w:spacing w:before="0" w:after="283"/>
              <w:jc w:val="left"/>
              <w:rPr>
                <w:sz w:val="4"/>
                <w:szCs w:val="4"/>
              </w:rPr>
            </w:pPr>
            <w:r>
              <w:rPr>
                <w:sz w:val="4"/>
                <w:szCs w:val="4"/>
              </w:rPr>
            </w:r>
          </w:p>
        </w:tc>
        <w:tc>
          <w:tcPr>
            <w:tcW w:w="6244" w:type="dxa"/>
            <w:tcBorders/>
            <w:vAlign w:val="center"/>
          </w:tcPr>
          <w:p>
            <w:pPr>
              <w:pStyle w:val="TableContents"/>
              <w:bidi w:val="0"/>
              <w:spacing w:before="0" w:after="283"/>
              <w:jc w:val="left"/>
              <w:rPr>
                <w:sz w:val="4"/>
                <w:szCs w:val="4"/>
              </w:rPr>
            </w:pPr>
            <w:r>
              <w:rPr>
                <w:sz w:val="4"/>
                <w:szCs w:val="4"/>
              </w:rPr>
            </w:r>
          </w:p>
        </w:tc>
      </w:tr>
      <w:tr>
        <w:trPr/>
        <w:tc>
          <w:tcPr>
            <w:tcW w:w="39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Type of Award</w:t>
              <w:br/>
              <w:t>(“Award”)</w:t>
            </w:r>
          </w:p>
        </w:tc>
        <w:tc>
          <w:tcPr>
            <w:tcW w:w="624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An incentive stock option grant pursuant to Section 422(b) of the Internal Revenue Code</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Executive’s Award to equal 486,650 shares granted on April 6, 2026. </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Award is evidenced by agreement executed by Executive and the Company.</w:t>
            </w:r>
          </w:p>
        </w:tc>
      </w:tr>
      <w:tr>
        <w:trPr/>
        <w:tc>
          <w:tcPr>
            <w:tcW w:w="3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Vesting of Award</w:t>
            </w:r>
          </w:p>
        </w:tc>
        <w:tc>
          <w:tcPr>
            <w:tcW w:w="6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25% vest one year after date of grant and the remainder vest in monthly equal amounts over 36 months beginning one year and one month after date of grant</w:t>
            </w:r>
          </w:p>
        </w:tc>
      </w:tr>
      <w:tr>
        <w:trPr/>
        <w:tc>
          <w:tcPr>
            <w:tcW w:w="3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Termination of Service for Cause, resignation with/without Cause, death &amp; disability, etc.</w:t>
            </w:r>
          </w:p>
        </w:tc>
        <w:tc>
          <w:tcPr>
            <w:tcW w:w="6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4"/>
              </w:rPr>
            </w:pPr>
            <w:r>
              <w:rPr>
                <w:rFonts w:ascii="Times New Roman" w:hAnsi="Times New Roman"/>
                <w:color w:val="000000"/>
                <w:sz w:val="24"/>
              </w:rPr>
              <w:t xml:space="preserve">ninety (90) days following the date of the Executive’s termination of employment with the Company and its Affiliates for any reason other than for Cause or due to the Executive’s death or Disability; </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4"/>
              </w:rPr>
            </w:pPr>
            <w:r>
              <w:rPr>
                <w:rFonts w:ascii="Times New Roman" w:hAnsi="Times New Roman"/>
                <w:color w:val="000000"/>
                <w:sz w:val="24"/>
              </w:rPr>
              <w:t>six (6) months following the date of the Executive’s termination of employment with the Company and its Affiliates due to the Executive’s death or Disability.</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entire Award (whether vested or unvested) held by the Executive immediately prior to the cessation of the Executive’s employment shall immediately terminate upon such cessation if such cessation of employment was for Cause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4" w:name="crdf-ex10_4.htm"/>
      <w:bookmarkStart w:id="45" w:name="kscrdfex10_4"/>
      <w:bookmarkEnd w:id="44"/>
      <w:bookmarkEnd w:id="45"/>
      <w:r>
        <w:rPr>
          <w:rFonts w:ascii="Times New Roman" w:hAnsi="Times New Roman"/>
          <w:color w:val="000000"/>
          <w:sz w:val="24"/>
        </w:rPr>
        <w:t>Exhibit 10.4</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xml:space="preserve">) is made and entered into effective as of </w:t>
      </w:r>
      <w:r>
        <w:rPr>
          <w:rFonts w:ascii="Times New Roman" w:hAnsi="Times New Roman"/>
          <w:b/>
          <w:color w:val="000000"/>
          <w:sz w:val="24"/>
        </w:rPr>
        <w:t>August 10, 2026</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Ajay Aggarwal, M.D.</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and Cardiff Oncology,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R E C I T A L 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desires to employ Executive, and Executive desires to be employed by the Company, in each case effective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in connection with the foregoing, Executive shall be required to perform Executive’s duties and obligations hereunder on behalf of the Company, as appropriate, and such duties and obligations shall be enforceable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this Agreement supersedes any and all prior term sheets, employment agreements or similar agreements by and between Executive and the Company.</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consideration of the mutual covenants herein contained and the employment of Executive by the Company,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Definition of Terms</w:t>
      </w:r>
      <w:r>
        <w:rPr>
          <w:rFonts w:ascii="Times New Roman" w:hAnsi="Times New Roman"/>
          <w:color w:val="000000"/>
          <w:sz w:val="24"/>
        </w:rPr>
        <w:t>. The following terms referred to in this Agreement shall have the following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color w:val="000000"/>
        </w:rPr>
      </w:pPr>
      <w:r>
        <w:rPr>
          <w:color w:val="000000"/>
        </w:rPr>
        <w:t>“</w:t>
      </w:r>
      <w:r>
        <w:rPr>
          <w:rFonts w:ascii="Times New Roman" w:hAnsi="Times New Roman"/>
          <w:color w:val="000000"/>
          <w:sz w:val="24"/>
        </w:rPr>
        <w:t>Cause” shall mean the occurrence of any of the following, as determined by the Board in its sole discretion: (i) Executive’s failure to substantially perform Executive’s duties with the Company (other than any such failure resulting from Executive’s disability); (ii) Executive’s failure to comply, in any material respect, with any of the Company’s policies or the Confidentiality and Non-Disclosure Agreement; (iii) the Board’s determination that Executive failed in any material respect to carry out or comply with any lawful and reasonable directive of the Board; (iv) Executive’s conviction, plea of no contest, or plea of nolo contendere for any felony or crime involving moral turpitude; (v) Executive’s unlawful use or possession of illegal drugs on the Company’s or any affiliate’s premises; or (vi) Executive’s commission of an act of fraud, embezzlement, misappropriation, willful misconduct, or breach of fiduciary duty against the Company or any of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color w:val="000000"/>
        </w:rPr>
      </w:pPr>
      <w:r>
        <w:rPr>
          <w:color w:val="000000"/>
        </w:rPr>
        <w:t>“</w:t>
      </w:r>
      <w:r>
        <w:rPr>
          <w:rFonts w:ascii="Times New Roman" w:hAnsi="Times New Roman"/>
          <w:color w:val="000000"/>
          <w:sz w:val="24"/>
        </w:rPr>
        <w:t>Change of Control” shall have the same meaning as “Change in Control” under the Company’s equity incentive plan, as in effect on the date hereof, and shall be deemed to occur only upon the actual consummation of a Change in Control as so defined. For the avoidance of doubt, a Change of Control shall not be deemed to occur as a result of any pending, proposed, or contemplated transaction unless and until a Change of Control has actually occurred pursuant to the equity plan, and no Change of Control shall be deemed to occur for purposes of this Agreement unless such event also constitutes a change in control event within the meaning of Section 409A of the Internal Revenue Code, to the extent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means totally and permanently disabled as defined in the Company’s disability benefit plan applicable to senior executive officers as in effect on the date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color w:val="000000"/>
        </w:rPr>
      </w:pPr>
      <w:r>
        <w:rPr>
          <w:color w:val="000000"/>
        </w:rPr>
        <w:t>“</w:t>
      </w:r>
      <w:r>
        <w:rPr>
          <w:rFonts w:ascii="Times New Roman" w:hAnsi="Times New Roman"/>
          <w:color w:val="000000"/>
          <w:sz w:val="24"/>
        </w:rPr>
        <w:t>Good Reason” shall mean, without Executive’s express written consent, any of the following: (i) a material reduction of Executive’s duties, position or responsibilities; (ii) a reduction of Executive’s compensation, unless such reduction is the result of Company financial difficulties and/or is part of a Company-wide reduction of compensation of similarly situated Company employees; (iii) the relocation of Executive to a facility or location more than fifty (50) miles from Executive’s then current employment location; or (iv) a material breach by the Company of any agreement with Executive. In order for Executive to resign for Good Reason, within sixty (60) days after Executive first learns of the applicable event, Executive is required to give written notice of the event constituting Good Reason. This notice will trigger a thirty (30) day cure period. If the Company fails to cure this Good Reason event within thirty (30) days from the date of the written notice, Executive must resign from Executive’s employment within sixty (60) days from the end of the thirty (30) day cure period. Determination of whether Executive had Good Reason, and if so whether the Good Reason event was cured, shall be in the sole discretion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Duties and Scope of Position</w:t>
      </w:r>
      <w:r>
        <w:rPr>
          <w:rFonts w:ascii="Times New Roman" w:hAnsi="Times New Roman"/>
          <w:color w:val="000000"/>
          <w:sz w:val="24"/>
        </w:rPr>
        <w:t xml:space="preserve">. During the Term (as defined below), Executive will serve as </w:t>
      </w:r>
      <w:r>
        <w:rPr>
          <w:rFonts w:ascii="Times New Roman" w:hAnsi="Times New Roman"/>
          <w:b/>
          <w:color w:val="000000"/>
          <w:sz w:val="24"/>
        </w:rPr>
        <w:t>Chief Operating Officer</w:t>
      </w:r>
      <w:r>
        <w:rPr>
          <w:color w:val="000000"/>
        </w:rPr>
        <w:t xml:space="preserve"> </w:t>
      </w:r>
      <w:r>
        <w:rPr>
          <w:rFonts w:ascii="Times New Roman" w:hAnsi="Times New Roman"/>
          <w:color w:val="000000"/>
          <w:sz w:val="24"/>
        </w:rPr>
        <w:t xml:space="preserve">of the Company, reporting to the Chief Executive Officer of the Company, and assuming and discharging such responsibilities as are commensurate with Executive’s position. During the Term, Executive will provide services in a manner that will faithfully and diligently further the business of the Company and will devote a substantial portion of Executive’s business time, attention and energy thereto. Notwithstanding the foregoing, nothing in this Agreement shall restrict Executive from managing Executive’s personal investments, or serving on civic or charitable boards or committees, provided that no such activities unduly interfere, individually or in the aggregate, with the performance of Executive’s obligations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xml:space="preserve">. The term of Executive’s employment under this Agreement shall commence as of the Effective Date and shall continue until August 10, 2029, unless earlier terminated in accordance with Section 9 hereof. The term of Executive’s employment shall be automatically renewed for successive one (1) year periods until the Executive or the Company delivers to the other party a written notice of their intent not to renew such employment, such written notice to be delivered at least sixty (60) days prior to the expiration of the then-effective Term as that term is defined below. The period commencing as of the Effective Date and ending on Executive’s last date of employment with the Company under this Agreement is the “Term” and the end of the Term is referred to herein as the “Expiration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Base Compensation</w:t>
      </w:r>
      <w:r>
        <w:rPr>
          <w:rFonts w:ascii="Times New Roman" w:hAnsi="Times New Roman"/>
          <w:color w:val="000000"/>
          <w:sz w:val="24"/>
        </w:rPr>
        <w:t>. The Company shall pay to Executive a base compensation (the “</w:t>
      </w:r>
      <w:r>
        <w:rPr>
          <w:rFonts w:ascii="Times New Roman" w:hAnsi="Times New Roman"/>
          <w:color w:val="000000"/>
          <w:sz w:val="24"/>
          <w:u w:val="single"/>
        </w:rPr>
        <w:t>Base Compensation</w:t>
      </w:r>
      <w:r>
        <w:rPr>
          <w:color w:val="000000"/>
        </w:rPr>
        <w:t>”</w:t>
      </w:r>
      <w:r>
        <w:rPr>
          <w:rFonts w:ascii="Times New Roman" w:hAnsi="Times New Roman"/>
          <w:color w:val="000000"/>
          <w:sz w:val="24"/>
        </w:rPr>
        <w:t xml:space="preserve">) of $490,000 per year (prorated for any partial year), payable at such times as the Company customarily pays its other senior executives (but in any event no less often than monthly). In addition, each year during the Term, Executive shall be reviewed for purposes of determining the appropriateness of Executive’s Base Compensation hereunder. The Base Compensation shall be subject to all federal, state and local payroll tax withholding and any other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withholdings required by law. For purposes of the Agreement, the term “</w:t>
      </w:r>
      <w:r>
        <w:rPr>
          <w:rFonts w:ascii="Times New Roman" w:hAnsi="Times New Roman"/>
          <w:color w:val="000000"/>
          <w:sz w:val="24"/>
          <w:u w:val="single"/>
        </w:rPr>
        <w:t>Base Compensation</w:t>
      </w:r>
      <w:r>
        <w:rPr>
          <w:color w:val="000000"/>
        </w:rPr>
        <w:t xml:space="preserve">” </w:t>
      </w:r>
      <w:r>
        <w:rPr>
          <w:rFonts w:ascii="Times New Roman" w:hAnsi="Times New Roman"/>
          <w:color w:val="000000"/>
          <w:sz w:val="24"/>
        </w:rPr>
        <w:t>as of any point in time shall refer to the Base Compensation as adjusted pursuant to this Section 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Benefits; Expense Reimbursement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Benefits</w:t>
      </w:r>
      <w:r>
        <w:rPr>
          <w:rFonts w:ascii="Times New Roman" w:hAnsi="Times New Roman"/>
          <w:color w:val="000000"/>
          <w:sz w:val="24"/>
        </w:rPr>
        <w:t>. During the Term, Executive shall be entitled to participate in all company employee benefit plans. In the event Executive elects to pay to a self-funded health insurance program, Executive shall be reimbursed by the Company for such costs up to the maximum amount the Company would be obligated to pay for similar benefits pursuant to its health insurance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During the Term, the Company shall promptly reimburse Executive for all expenses reasonably and necessarily incurred by Executive in connection with the business of the Company, consistent with Company policies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Target Bonus. In addition to Executive’s Base Compensation, Executive shall be eligible for an annual bonus opportunity of up to 40% of Base Compensation, with performance milestones for each fiscal year to be determined by the Board or its compensation committee in its sole discretion. Except as otherwise expressly provided in this Agreement in section 10, Executive must be actively employed by the Company at the time the applicable bonus is paid in order to be eligible to receive any bonus. The determinations of the Board or its compensation committee with respect to bonuses will be final and binding.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Equity Award</w:t>
      </w:r>
      <w:r>
        <w:rPr>
          <w:rFonts w:ascii="Times New Roman" w:hAnsi="Times New Roman"/>
          <w:color w:val="000000"/>
          <w:sz w:val="24"/>
        </w:rPr>
        <w:t>. Executive has been granted an equity-based compensation award (“</w:t>
      </w:r>
      <w:r>
        <w:rPr>
          <w:rFonts w:ascii="Times New Roman" w:hAnsi="Times New Roman"/>
          <w:color w:val="000000"/>
          <w:sz w:val="24"/>
          <w:u w:val="single"/>
        </w:rPr>
        <w:t>Award</w:t>
      </w:r>
      <w:r>
        <w:rPr>
          <w:color w:val="000000"/>
        </w:rPr>
        <w:t>”</w:t>
      </w:r>
      <w:r>
        <w:rPr>
          <w:rFonts w:ascii="Times New Roman" w:hAnsi="Times New Roman"/>
          <w:color w:val="000000"/>
          <w:sz w:val="24"/>
        </w:rPr>
        <w:t xml:space="preserve">) in accordance with </w:t>
      </w:r>
      <w:r>
        <w:rPr>
          <w:rFonts w:ascii="Times New Roman" w:hAnsi="Times New Roman"/>
          <w:color w:val="000000"/>
          <w:sz w:val="24"/>
          <w:u w:val="single"/>
        </w:rPr>
        <w:t>Exhibit C</w:t>
      </w:r>
      <w:r>
        <w:rPr>
          <w:color w:val="000000"/>
        </w:rPr>
        <w:t xml:space="preserve"> </w:t>
      </w:r>
      <w:r>
        <w:rPr>
          <w:rFonts w:ascii="Times New Roman" w:hAnsi="Times New Roman"/>
          <w:color w:val="000000"/>
          <w:sz w:val="24"/>
        </w:rPr>
        <w:t>attached hereto. Upon termination of Executive’s employment, the treatment of any portion of outstanding Award shall be determined in accordance with the terms of any agreements governing such award (“</w:t>
      </w:r>
      <w:r>
        <w:rPr>
          <w:rFonts w:ascii="Times New Roman" w:hAnsi="Times New Roman"/>
          <w:color w:val="000000"/>
          <w:sz w:val="24"/>
          <w:u w:val="single"/>
        </w:rPr>
        <w:t>Award Agreement</w:t>
      </w:r>
      <w:r>
        <w:rPr>
          <w:color w:val="000000"/>
        </w:rPr>
        <w:t>”</w:t>
      </w:r>
      <w:r>
        <w:rPr>
          <w:rFonts w:ascii="Times New Roman" w:hAnsi="Times New Roman"/>
          <w:color w:val="000000"/>
          <w:sz w:val="24"/>
        </w:rPr>
        <w:t>). Executive shall remain eligible to receive additional equity-based compensation awards as the Company may grant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Intentionally omitted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Termination by the Company</w:t>
      </w:r>
      <w:r>
        <w:rPr>
          <w:rFonts w:ascii="Times New Roman" w:hAnsi="Times New Roman"/>
          <w:color w:val="000000"/>
          <w:sz w:val="24"/>
        </w:rPr>
        <w:t xml:space="preserve">. Subject to the obligations of the Company set forth in Section 10 below, the Company may terminate Executive’s employment at any time and for any reason (or no reason), and with or without Cause, and without prejudice to any other right or remedy to which the Company or Executive may be entitled at law or in equity or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Executive</w:t>
      </w:r>
      <w:r>
        <w:rPr>
          <w:rFonts w:ascii="Times New Roman" w:hAnsi="Times New Roman"/>
          <w:color w:val="000000"/>
          <w:sz w:val="24"/>
        </w:rPr>
        <w:t>. Executive may voluntarily terminate the Term with written notice for any reason or no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for Death or Disability</w:t>
      </w:r>
      <w:r>
        <w:rPr>
          <w:rFonts w:ascii="Times New Roman" w:hAnsi="Times New Roman"/>
          <w:color w:val="000000"/>
          <w:sz w:val="24"/>
        </w:rPr>
        <w:t xml:space="preserve">. Subject to the obligations of the Company set forth in Section 10 below, Executive’s employment shall terminate automatically upon Executive’s death. Subject to the obligations of the Company set forth in Section 10 below, in the event Executive is unable to perform Executive’s duties as a result of Disability during the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 the Company shall have the right to terminate the employment of Executive by providing written notice of the effective date of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Payments Upon Termination of Employment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Termination for Cause, Death or Disability or Termination by Executive without Good Reason</w:t>
      </w:r>
      <w:r>
        <w:rPr>
          <w:rFonts w:ascii="Times New Roman" w:hAnsi="Times New Roman"/>
          <w:color w:val="000000"/>
          <w:sz w:val="24"/>
        </w:rPr>
        <w:t>. In the event that Executive’s employment hereunder is terminated during the Term by the Company for Cause, as a result of Executive’s death or Disability, or voluntarily by Executive without Good Reason, the Company shall compensate Executive (or in the case of death, Executive’s estate) as follows: on the date of termination, the Company shall pay Executive a lump sum amount equal to (i) any portion of unpaid Base Compensation then due for periods prior to the effective date of termination; (ii) any Bonus and Options earned and not yet paid or granted, as applicable, through the date of termination; and (iii) within 2-1/2 months following submission of proper expense reports by Executive or Executive’s estate, all expenses reasonably and necessarily incurred by Executive in connection with the business of the Company prior to the date of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Company Without Cause or by Executive for Good Reason</w:t>
      </w:r>
      <w:r>
        <w:rPr>
          <w:rFonts w:ascii="Times New Roman" w:hAnsi="Times New Roman"/>
          <w:color w:val="000000"/>
          <w:sz w:val="24"/>
        </w:rPr>
        <w:t>. In the event that Executive’s employment is terminated by the Company without Cause or by Executive for Good Reason, and subject to Executive’s execution and non-revocation of a release pursuant to Section 10(e), the Company shall provide the following severance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date of termination, the Company shall pay Executive any portion of unpaid Base Compensation then due for periods prior to the effective date of termination and reimbursement of all properly submitted business expenses incurred prior to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continue to pay Executive’s Base Compensation for nine (9) months from the date of termination on the Company’s regular payroll dates.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also pay Executive a prorated portion of Executive’s Target Bonus (or Bonus based on actual performance as determined in good faith by the Board or the Compensation Committee) the Executive would have earned for the year in which the termination occurs, with such proration based on the number of days Executive was employed during such year divided by 365. This payment may be made when the Bonus is paid out to other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as of the termination date, a bonus for a completed prior fiscal year has not been paid yet, Executive shall remain eligible to receive such bonus when paid, in an amount determined by applying the same adjustments as are applied to bonuses paid to similarly situated active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reimburse Executive for the same amount that Executive was receiving as the normal Company co-pay for medical insurance for up to nine (9) months, provided Executive maintains coverage through COBRA or an alternative source and timely submits proof of payment; such reimbursement will terminate if Executive obtains other employment through which Executive can obtain medical insurance, whether or not Executive elects such coverage.</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in the Context of a Change of Control</w:t>
      </w:r>
      <w:r>
        <w:rPr>
          <w:rFonts w:ascii="Times New Roman" w:hAnsi="Times New Roman"/>
          <w:color w:val="000000"/>
          <w:sz w:val="24"/>
        </w:rPr>
        <w:t>. In the event of Executive’s termination of employment with the Company either (i) by Executive for Good Reason at any time within nine (9) months after the consummation of a Change of Control; or (ii) by the Company without Cause at any time upon or within nine (9) months after the consummation of a Change of Control, this shall constitute a “Termination in the Context of a Change of Control” and Executive shall be entitled to the following payments and other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date of termination, the Company shall pay Executive any portion of unpaid Base Compensation then due for periods prior to the effective date of termination and reimbursement of all properly submitted business expenses incurred prior to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continue to pay Executive’s Base Compensation for nine (9) months from the date of termination on the Company’s regular payroll dates.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also pay Executive a prorated portion of Executive’s Target Bonus (or Bonus based on actual performance as determined in good faith by the Board or the Compensation Committee) the Executive would have earned for the year in which the termination occurs, based on the number of days Executive was employed during such year divided by 365. This payment may be made when the Bonus is paid out to other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as of the termination date, a bonus for a completed prior fiscal year has not been paid yet, Executive shall remain eligible to receive such bonus when paid, in an amount determined by applying the same adjustments as are applied to bonuses paid to similarly situated active employees.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reimburse Executive for the same amount that Executive was receiving as the normal Company co-pay for medical insurance for up to nine (9) months, provided Executive maintains coverage through COBRA or an alternative source and timely submits proof of payment; such reimbursement will terminate if Executive obtains other employment through which Executive can obtain medical insurance, whether or not Executive elects such coverage.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provision of any stock incentive plan, stock option agreement, restricted stock agreement or other agreement relating to capital stock of the Company, all of the shares and equity awards held by Executive that are then unvested shall immediately vest and, with respect to all options, warrants and other convertible securities of the Company beneficially held by Executive, become fully exercisable for such period of time set forth in the agreement evidencing the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provision, “Change of Control” shall have the same meaning as “Change in Control” under the Company’s equity incentive plan, as in effect on the date hereof (the “Equity Plan”), and shall be deemed to occur only upon the actual consummation of a Change in Control as so defined. For the avoidance of doubt, a Change of Control shall not be deemed to occur as a result of any pending, proposed, or contemplated transaction unless and until both of the following two conditions have been met: (i) a Change of Control has actually occurred pursuant to the Equity Plan and (ii) such event also constitutes a change in control event within the meaning of Section 409A of the Internal Revenue Code, to the extent applicable.</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severance or equity acceleration tied to a Change of Control shall apply only upon an actual consummated Change of Control as defined in this Agreement and the applicable equity plan, and not based on any pending, proposed, or contemplated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Conditions to Payment</w:t>
      </w:r>
      <w:r>
        <w:rPr>
          <w:rFonts w:ascii="Times New Roman" w:hAnsi="Times New Roman"/>
          <w:color w:val="000000"/>
          <w:sz w:val="24"/>
        </w:rPr>
        <w:t>. All payments and benefits due to Executive under this Section 10 that are made subject to this Section 10(f) (such payments, “</w:t>
      </w:r>
      <w:r>
        <w:rPr>
          <w:rFonts w:ascii="Times New Roman" w:hAnsi="Times New Roman"/>
          <w:color w:val="000000"/>
          <w:sz w:val="24"/>
          <w:u w:val="single"/>
        </w:rPr>
        <w:t>Severance</w:t>
      </w:r>
      <w:r>
        <w:rPr>
          <w:color w:val="000000"/>
        </w:rPr>
        <w:t>”</w:t>
      </w:r>
      <w:r>
        <w:rPr>
          <w:rFonts w:ascii="Times New Roman" w:hAnsi="Times New Roman"/>
          <w:color w:val="000000"/>
          <w:sz w:val="24"/>
        </w:rPr>
        <w:t xml:space="preserve">), shall only be payable if Executive (or Executive’s beneficiary or estate) delivers to the Company and does not revoke (under the terms of applicable law) a general release of all claims substantially in the form attached hereto as </w:t>
      </w:r>
      <w:r>
        <w:rPr>
          <w:rFonts w:ascii="Times New Roman" w:hAnsi="Times New Roman"/>
          <w:color w:val="000000"/>
          <w:sz w:val="24"/>
          <w:u w:val="single"/>
        </w:rPr>
        <w:t>Exhibit A</w:t>
      </w:r>
      <w:r>
        <w:rPr>
          <w:rFonts w:ascii="Times New Roman" w:hAnsi="Times New Roman"/>
          <w:color w:val="000000"/>
          <w:sz w:val="24"/>
        </w:rPr>
        <w:t>. Such general release shall be executed and delivered to the Company within twenty-one (21) days of receipt by Executive, and shall no longer be subject to revocation seven (7) days following that execution. Failure to timely execute and return such release, or revocation of such release, shall be a waiver by Executive of Executive’s right to any Severance. If Executive’s review and revocation period for the release of claims required pursuant to this Section spans two of Executive’s taxable years, the first payment shall be made on the first regularly scheduled payroll date of the later taxable year following the effective date of such release of claims and shall include all amounts accrued prior thereto. In addition, Severance shall be conditioned on Executive’s compliance with Section 15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Additional Post-Employment Obligations</w:t>
      </w:r>
      <w:r>
        <w:rPr>
          <w:rFonts w:ascii="Times New Roman" w:hAnsi="Times New Roman"/>
          <w:color w:val="000000"/>
          <w:sz w:val="24"/>
        </w:rPr>
        <w:t>. During the nine (9) month severance period, Executive will provide reasonable cooperation requested by the Company in matters arising from Executive’s service to the Company, subject to reimbursement of reasonable travel and out-of-pocket expenses. Executive shall not make defamatory remarks about the Company or its current or former employees, provided that nothing herein prohibits truthful statements required by law or protected communications with governmental agencies.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Code Section 409A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parties agree that this Agreement shall be interpreted to comply with or be exempt from Section 409A of the Code and the regulations and guidance promulgated thereunder to the extent applicable (collectively “</w:t>
      </w:r>
      <w:r>
        <w:rPr>
          <w:rFonts w:ascii="Times New Roman" w:hAnsi="Times New Roman"/>
          <w:color w:val="000000"/>
          <w:sz w:val="24"/>
          <w:u w:val="single"/>
        </w:rPr>
        <w:t>Code Section 409A</w:t>
      </w:r>
      <w:r>
        <w:rPr>
          <w:color w:val="000000"/>
        </w:rPr>
        <w:t>”</w:t>
      </w:r>
      <w:r>
        <w:rPr>
          <w:rFonts w:ascii="Times New Roman" w:hAnsi="Times New Roman"/>
          <w:color w:val="000000"/>
          <w:sz w:val="24"/>
        </w:rPr>
        <w:t>), and all provisions of this Agreement shall be construed in a manner consistent with the requirements for avoiding taxes or penalties under Code Section 409A. In no event whatsoever will the Company be liable for any additional tax, interest or penalties that may be imposed on Executive under Code Section 409A or any damages for failing to comply with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termination of employment shall not be deemed to have occurred for purposes of any provision of this Agreement providing for the payment of any amounts or benefits considered “nonqualified deferred compensation” under Code Section 409A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If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be made or provided at the date which is the earlier of (i) the expiration of the six (6)-month period measured from the date of such “separation from service” of Executive,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and (ii) the date of Executive’s death (the “</w:t>
      </w:r>
      <w:r>
        <w:rPr>
          <w:rFonts w:ascii="Times New Roman" w:hAnsi="Times New Roman"/>
          <w:color w:val="000000"/>
          <w:sz w:val="24"/>
          <w:u w:val="single"/>
        </w:rPr>
        <w:t>Delay Period</w:t>
      </w:r>
      <w:r>
        <w:rPr>
          <w:color w:val="000000"/>
        </w:rPr>
        <w:t>”</w:t>
      </w:r>
      <w:r>
        <w:rPr>
          <w:rFonts w:ascii="Times New Roman" w:hAnsi="Times New Roman"/>
          <w:color w:val="000000"/>
          <w:sz w:val="24"/>
        </w:rPr>
        <w:t xml:space="preserve">). Upon the expiration of the Delay Period, all payments and benefits delayed pursuant to this </w:t>
      </w:r>
      <w:r>
        <w:rPr>
          <w:rFonts w:ascii="Times New Roman" w:hAnsi="Times New Roman"/>
          <w:color w:val="000000"/>
          <w:sz w:val="24"/>
          <w:u w:val="single"/>
        </w:rPr>
        <w:t>Section 13.7(b)</w:t>
      </w:r>
      <w:r>
        <w:rPr>
          <w:color w:val="000000"/>
        </w:rPr>
        <w:t xml:space="preserve"> </w:t>
      </w:r>
      <w:r>
        <w:rPr>
          <w:rFonts w:ascii="Times New Roman" w:hAnsi="Times New Roman"/>
          <w:color w:val="000000"/>
          <w:sz w:val="24"/>
        </w:rPr>
        <w:t>(whether they would have otherwise been payable in a single sum or in installments in the absence of such delay) shall be paid or reimbursed on the first business day following the expiration of the Delay Period to Executive in a lump sum, and any remaining payments and benefits due under this Agreement shall be paid or provided in accordance with the normal payment dates specified for them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w:t>
      </w:r>
      <w:r>
        <w:rPr>
          <w:rFonts w:ascii="Times New Roman" w:hAnsi="Times New Roman"/>
          <w:color w:val="000000"/>
          <w:sz w:val="24"/>
          <w:u w:val="single"/>
        </w:rPr>
        <w:t>provided</w:t>
      </w:r>
      <w:r>
        <w:rPr>
          <w:rFonts w:ascii="Times New Roman" w:hAnsi="Times New Roman"/>
          <w:color w:val="000000"/>
          <w:sz w:val="24"/>
        </w:rPr>
        <w:t>, that, this clause (ii) shall not be violated with regard to expenses reimbursed under any arrangement covered by Internal Revenue Code Section 105(b) solely because such expenses are subject to a limit related to the period the arrangement is in effect and (iii) such payments shall be made on or before the last day of Executive’s taxable year following the taxable year in which the expense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For purposes of Code Section 409A, Executive’s right to receive any installment payments pursuant to this Agreement shall be treated as a right to receive a series of separate and distinct payments. Whenever a payment under this Agreement specifies a payment period with reference to a number of days (</w:t>
      </w:r>
      <w:r>
        <w:rPr>
          <w:rFonts w:ascii="Times New Roman" w:hAnsi="Times New Roman"/>
          <w:color w:val="000000"/>
          <w:sz w:val="24"/>
          <w:u w:val="single"/>
        </w:rPr>
        <w:t>e.g.</w:t>
      </w:r>
      <w:r>
        <w:rPr>
          <w:rFonts w:ascii="Times New Roman" w:hAnsi="Times New Roman"/>
          <w:color w:val="000000"/>
          <w:sz w:val="24"/>
        </w:rPr>
        <w:t>, “payment shall be made within thirty (30) days following the date of termination”), the actual date of payment within the specified period shall be within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Successors</w:t>
      </w:r>
      <w:r>
        <w:rPr>
          <w:rFonts w:ascii="Times New Roman" w:hAnsi="Times New Roman"/>
          <w:color w:val="000000"/>
          <w:sz w:val="24"/>
        </w:rPr>
        <w:t>. Any successor to the Company (whether direct or indirect and whether by purchase, lease, merger, consolidation, liquidation or otherwise) to all or substantially all of the Company's business and/or assets or otherwise pursuant to a Change of Control shall assume the Company's obligations under this Agreement and agree expressly in writing delivered to Executive, at or prior to such Change of Control, to perform the Company’s obligations under this Agreement in the same manner and to the same extent as the Company would be required to perform such obligations in the absence of a Change of Control. For all purposes under this Agreement, the term “Company” shall include any successor to the Company's business and/or assets (including any parent company to the Company), whether or not in connection with a Change of Control, which becomes bound by the terms of this Agreement by contract, operation of law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Notices and all other communications contemplated by this Agreement shall be in writing and shall be deemed to have been duly given (a) when personally delivered (if to the Company, addressed to its Secretary at the Company’s principal place of business on a non-holiday weekday between the hours of 9 a.m. and 5 p.m.; if to Executive, via personal service to Executive’s last known residence) or (b) three business days following the date it is mailed by U.S. registered or certified mail, return receipt requested and postage prepaid.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Confidential Information</w:t>
      </w:r>
      <w:r>
        <w:rPr>
          <w:rFonts w:ascii="Times New Roman" w:hAnsi="Times New Roman"/>
          <w:color w:val="000000"/>
          <w:sz w:val="24"/>
        </w:rPr>
        <w:t xml:space="preserve">. Executive recognizes and acknowledges that by reason of Executive’s employment by and service to the Company before, during and, if applicable, after the Term, Executive will have access to certain confidential and proprietary information relating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to the Company’s business, which may include, but is not limited to, trade secrets, trade “know-how,” product development techniques and plans, formulas, customer lists and addresses, financing services, funding programs, cost and pricing information, marketing and sales techniques, strategy and programs, computer programs and software and financial information (collectively referred to herein as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xml:space="preserve">). Executive acknowledges that such Confidential Information is a valuable and unique asset of the Company and Executive covenants that Executive will not, unless expressly authorized in writing by the Company, at any time during the course of Executive’s employment use any Confidential Information or divulge or disclose any Confidential Information to any person, firm or corporation except in connection with the performance of Executive’s duties for and on behalf of the Company and in a manner consistent with the Company’s policies regarding Confidential Information. Executive also covenants that at any time after the termination of such employment, directly or indirectly, Executive will not use any Confidential Information or divulge or disclose any Confidential Information to any person, firm or corporation, unless such information is in the public domain through no fault of Executive or except when required to do so by a court of law, by any governmental agency having supervisory authority over the business of the Company or by any administrative or legislative body (including a committee thereof) with apparent jurisdiction to order Executive to divulge, disclose or make accessible such information. All written Confidential Information (including, without limitation, in any computer or other electronic format) which comes into Executive’s possession during the course of Executive’s employment shall remain the property of the Company. Unless expressly authorized in writing by the Company, Executive shall not remove any written Confidential Information from the Company’s premises, except in connection with the performance of Executive’s duties for and on behalf of the Company and in a manner consistent with the Company’s policies regarding Confidential Information. Upon termination of Executive’s employment, the Executive agrees to immediately return to the Company all written Confidential Information (including, without limitation, in any computer or other electronic format) in Executive’s possession. As a condition of Executive’s employment with the Company and in order to protect the Company’s interest in such proprietary information, the Company shall require Executive’s execution of a Confidentiality Agreement and Inventions Agreement in the form attached hereto as </w:t>
      </w:r>
      <w:r>
        <w:rPr>
          <w:rFonts w:ascii="Times New Roman" w:hAnsi="Times New Roman"/>
          <w:color w:val="000000"/>
          <w:sz w:val="24"/>
          <w:u w:val="single"/>
        </w:rPr>
        <w:t>Exhibit B</w:t>
      </w:r>
      <w:r>
        <w:rPr>
          <w:rFonts w:ascii="Times New Roman" w:hAnsi="Times New Roman"/>
          <w:color w:val="000000"/>
          <w:sz w:val="24"/>
        </w:rPr>
        <w:t>, and incorporated herein by this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Intentionally omitted</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Employment Relationship.</w:t>
      </w:r>
      <w:r>
        <w:rPr>
          <w:color w:val="000000"/>
        </w:rPr>
        <w:t xml:space="preserve"> </w:t>
      </w:r>
      <w:r>
        <w:rPr>
          <w:rFonts w:ascii="Times New Roman" w:hAnsi="Times New Roman"/>
          <w:color w:val="000000"/>
          <w:sz w:val="24"/>
        </w:rPr>
        <w:t>Executive’s employment with the Company will remain at will, and this Agreement sets forth the complete agreement regarding that relationship, and any change to the at will nature of employment must be set forth in a written agreement approved by the 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Sections 1, 5, 6, 10, 11, 13, 14, 15 and 17 herein, including this Section 17(a), shall survive the termination of Executive’s employment with the Company, the expiration of this Agreement and the termination of this Agreement for any reason.</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Modifications; No Waiver</w:t>
      </w:r>
      <w:r>
        <w:rPr>
          <w:rFonts w:ascii="Times New Roman" w:hAnsi="Times New Roman"/>
          <w:color w:val="000000"/>
          <w:sz w:val="24"/>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supersedes, amends and restates all prior agreements and understandings between the parties, oral or written, including, without limitation, the Executive Agreement. No modification, termination or attempted waiver shall be valid unless in writing, signed by the party against whom such modification, termination or waiver is sought to be enforced.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Choice of Law</w:t>
      </w:r>
      <w:r>
        <w:rPr>
          <w:rFonts w:ascii="Times New Roman" w:hAnsi="Times New Roman"/>
          <w:color w:val="000000"/>
          <w:sz w:val="24"/>
        </w:rPr>
        <w:t>. The validity, interpretation, construction and performance of this Agreement shall be governed by the internal substantive laws, but not the conflicts of law rules, of the State of California.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or provisions of this Agreement shall not affect the validity or enforceability of any other provision hereof, which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and may be delivered by facsimile or other electronic means, but all of which shall be deemed originals and taken together will constitute one and the same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of the Articles and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Construction of Agreement</w:t>
      </w:r>
      <w:r>
        <w:rPr>
          <w:rFonts w:ascii="Times New Roman" w:hAnsi="Times New Roman"/>
          <w:color w:val="000000"/>
          <w:sz w:val="24"/>
        </w:rPr>
        <w:t>. In the event of a conflict between the text of the Agreement and any summary, description or other information regarding the Agreement, the text of the Agreement shall control.</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each of the parties has executed this Agreement, in the case of the Company by its duly authorized officer, as of the day and year first above written.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br/>
        <w:br/>
        <w:br/>
        <w:t>COMPANY: Cardiff Oncology, Inc.</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/s/ </w:t>
      </w:r>
      <w:r>
        <w:rPr>
          <w:rFonts w:ascii="Times New Roman" w:hAnsi="Times New Roman"/>
          <w:color w:val="000000"/>
          <w:sz w:val="24"/>
          <w:u w:val="single"/>
        </w:rPr>
        <w:t>Mani Mohindru</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Mani Mohindru</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President &amp; CEO</w:t>
      </w:r>
    </w:p>
    <w:p>
      <w:pPr>
        <w:pStyle w:val="TextBody"/>
        <w:bidi w:val="0"/>
        <w:spacing w:before="0" w:after="240"/>
        <w:jc w:val="left"/>
        <w:rPr>
          <w:rFonts w:ascii="Times New Roman" w:hAnsi="Times New Roman"/>
          <w:sz w:val="20"/>
        </w:rPr>
      </w:pPr>
      <w:r>
        <w:rPr>
          <w:rFonts w:ascii="Times New Roman" w:hAnsi="Times New Roman"/>
          <w:color w:val="000000"/>
          <w:sz w:val="24"/>
        </w:rPr>
        <w:br/>
        <w:br/>
        <w:br/>
        <w:t xml:space="preserve">EXECUTIVE: /s/ </w:t>
      </w:r>
      <w:r>
        <w:rPr>
          <w:rFonts w:ascii="Times New Roman" w:hAnsi="Times New Roman"/>
          <w:color w:val="000000"/>
          <w:sz w:val="24"/>
          <w:u w:val="single"/>
        </w:rPr>
        <w:t>Ajay Aggarwal</w:t>
      </w:r>
      <w:r>
        <w:rPr>
          <w:rFonts w:ascii="Times New Roman" w:hAnsi="Times New Roman"/>
          <w:color w:val="000000"/>
          <w:sz w:val="24"/>
        </w:rPr>
        <w:br/>
        <w:t>[Name]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Exhibit A</w:t>
        <w:br/>
        <w:br/>
      </w:r>
      <w:r>
        <w:rPr>
          <w:rFonts w:ascii="Times New Roman" w:hAnsi="Times New Roman"/>
          <w:b/>
          <w:color w:val="000000"/>
          <w:sz w:val="24"/>
        </w:rPr>
        <w:t>Form of Release Agreement</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SEPARATION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Separation Agreement (“Agreement”) is made by and between Cardiff Oncology, Inc. (the “Company”) and Ajay Aggarwal, M.D. (“Employee”) (each a “Party” and collectively the “Parties”). In consideration for the execution of this Agreement, and the performance of the terms and conditions set forth herein,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Separation Date</w:t>
      </w:r>
      <w:r>
        <w:rPr>
          <w:rFonts w:ascii="Times New Roman" w:hAnsi="Times New Roman"/>
          <w:color w:val="000000"/>
          <w:sz w:val="24"/>
        </w:rPr>
        <w:t>. Employee’s employment with the Company terminated effective [DATE]. By signing below, Employee acknowledges and agrees Employee has received all wages owed, including accrued and unused vacation; has been reimbursed for all business expenses incurred in accordance with the Company’s expense reimbursement policy; and has received all other payments owed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Consideration</w:t>
      </w:r>
      <w:r>
        <w:rPr>
          <w:rFonts w:ascii="Times New Roman" w:hAnsi="Times New Roman"/>
          <w:color w:val="000000"/>
          <w:sz w:val="24"/>
        </w:rPr>
        <w:t>. In consideration for the execution of this Agreement, and the performance of the terms and conditions set forth herein, the Parties hereby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Cash Payments</w:t>
      </w:r>
      <w:r>
        <w:rPr>
          <w:rFonts w:ascii="Times New Roman" w:hAnsi="Times New Roman"/>
          <w:color w:val="000000"/>
          <w:sz w:val="24"/>
        </w:rPr>
        <w:t xml:space="preserve">. </w:t>
      </w:r>
      <w:r>
        <w:rPr>
          <w:rFonts w:ascii="Times New Roman" w:hAnsi="Times New Roman"/>
          <w:color w:val="000000"/>
          <w:sz w:val="23"/>
        </w:rPr>
        <w:t>The</w:t>
      </w:r>
      <w:r>
        <w:rPr>
          <w:color w:val="000000"/>
        </w:rPr>
        <w:t xml:space="preserve"> </w:t>
      </w:r>
      <w:r>
        <w:rPr>
          <w:rFonts w:ascii="Times New Roman" w:hAnsi="Times New Roman"/>
          <w:color w:val="000000"/>
          <w:sz w:val="24"/>
        </w:rPr>
        <w:t xml:space="preserve">Company shall continue to pay </w:t>
      </w:r>
      <w:r>
        <w:rPr>
          <w:rFonts w:ascii="Times New Roman" w:hAnsi="Times New Roman"/>
          <w:color w:val="000000"/>
          <w:sz w:val="23"/>
        </w:rPr>
        <w:t>Employee’s Base Compensation for nine (9) months from the Separation Date. These payments will be made on the Company’s regular payroll dates.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Prorated Bonus</w:t>
      </w:r>
      <w:r>
        <w:rPr>
          <w:rFonts w:ascii="Times New Roman" w:hAnsi="Times New Roman"/>
          <w:color w:val="000000"/>
          <w:sz w:val="24"/>
        </w:rPr>
        <w:t xml:space="preserve">. The Company shall pay Employee a prorated portion of the Target Bonus (or Bonus based on actual performance as determined in good faith by the Board or the Compensation Committee ) the Executive would have earned for the calendar year in which Executive’s Separation Date occurred, with such proration based on the number of days Employee was employed by the Company during such Target Year divided by 365. This payment may be made when the Bonus is paid out to other employees (“Bonus Payout Date”)). </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Medical Insurance</w:t>
      </w:r>
      <w:r>
        <w:rPr>
          <w:rFonts w:ascii="Times New Roman" w:hAnsi="Times New Roman"/>
          <w:color w:val="000000"/>
          <w:sz w:val="24"/>
        </w:rPr>
        <w:t>. The Company will reimburse Employee the same amount that he was receiving as his normal company co-pay for up to 9 months, provided that he maintains coverage either though COBRA or through an alternative source. This reimbursement will be provided within two weeks of each submission by Employee of proof of payment for medical insurance premiums. This payment will terminate if Employee obtains other employment through which he can obtain medical insurance, whether or not he elects to do so.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Good and Valuable Consideration.</w:t>
      </w:r>
      <w:r>
        <w:rPr>
          <w:color w:val="000000"/>
        </w:rPr>
        <w:t xml:space="preserve"> </w:t>
      </w:r>
      <w:r>
        <w:rPr>
          <w:rFonts w:ascii="Times New Roman" w:hAnsi="Times New Roman"/>
          <w:color w:val="000000"/>
          <w:sz w:val="24"/>
        </w:rPr>
        <w:t xml:space="preserve">The Parties expressly agree that the consideration set forth in Section 2 of this Agreement constitutes good and valuable consideration in addition to anything to which Employee is already entitled, and the Company has no independent legal duty to provide Employee with the consideration set forth in this Agreement, absent the terms of the Agreement itself. Employee understands and agrees that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Employee will not receive the consideration specified herein, without Employee’s execution of this Agreement and the fulfillment of the promises contained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Equity Awards</w:t>
      </w:r>
      <w:r>
        <w:rPr>
          <w:rFonts w:ascii="Times New Roman" w:hAnsi="Times New Roman"/>
          <w:color w:val="000000"/>
          <w:sz w:val="24"/>
        </w:rPr>
        <w:t>. Nothing herein will alter the terms and conditions of Employee’s Equity Award, as set forth in Employee’s Employment Agreement and/or Employee’s Award Agreement, EXCEPT in the event that Employee’s separation was a Termination in the Context of a Change of Control as defined in Employee’s Offer Letter, notwithstanding any provision of any stock incentive plan, stock option agreement, restricted stock agreement or other agreement relating to capital stock of the Company, all of the shares and equity awards held by Employee that are then unvested shall immediately vest and, with respect to all options, warrants and other convertible securities of the Company beneficially held by Employee, become fully exercisable for (A) a period of six months following the date of termination only if at the time of such termination there is a Change of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General Release of Claims</w:t>
      </w:r>
      <w:r>
        <w:rPr>
          <w:rFonts w:ascii="Times New Roman" w:hAnsi="Times New Roman"/>
          <w:color w:val="000000"/>
          <w:sz w:val="24"/>
        </w:rPr>
        <w:t>. Except as to such rights or claims as may be created by this Agreement, Employee, and anyone and any entity claiming through Employee, including but not limited to Employee’s heirs, administrators, successors in interest, assigns and agents, hereby release and forever discharge the Company and all of its past, present and future employees, officers, directors, members, agents, trustees, administrators, representatives, owners, shareholders, partners, insurers, fiduciaries, attorneys, subsidiaries, parent companies, affiliates, related entities, assigns, predecessors and successors in interest, and each and all of them, jointly and severally (collectively the “Released Parties”), from any and all liabilities, claims, causes of action, charges, complaints, obligations, costs, losses, damages, injuries, penalties, interest, attorneys’ fees, and other legal responsibilities, of any form whatsoever, whether known or unknown, unforeseen, unanticipated, unsuspected or latent, which Employee has at any time owned or held prior to Employee’s execution of this Agreement, including but not limited to, any and all claims arising out of, connected with, or relating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Employee’s employment and/or the end of Employee’s employment with the Released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act or omission by the Released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Title VII of the Civil Rights Act of 1964,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Civil Rights Act of 1991,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Sections 1981 through 1988 of Title 42 of the United States Code,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Age Discrimination in Employment Act of 1967,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Employee Retirement Income Security Act of 1974,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Immigration Reform and Control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Americans with Disabilities Act of 1990,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Fair Labor Standards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Workers Adjustment and Retraining Notification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Occupational Safety and Health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California Fair Employment and Housing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California Labor Code,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California Private Attorney General Act, as amended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California Equal Pay Law, as amended;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IWC Wage Orders,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other federal, state or local law, regulation or municipal ordinance, including those regulating compensation and those prohibiting discrimination, harassment, or retaliation of any kind;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Any claim based on violation of public policy, breach of contract, tort, fraud, misrepresentation, defamation, or any other common law claim;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claim for damages of any kind, including but not limited to compensatory damages, emotional distress damages, liquidated damages, punitive damages, or penalties;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claim for costs, fees, interest, or other expenses, including attorneys’ fees.</w:t>
      </w:r>
    </w:p>
    <w:p>
      <w:pPr>
        <w:pStyle w:val="TextBody"/>
        <w:bidi w:val="0"/>
        <w:spacing w:before="0" w:after="240"/>
        <w:jc w:val="left"/>
        <w:rPr>
          <w:rFonts w:ascii="Times New Roman" w:hAnsi="Times New Roman"/>
          <w:sz w:val="20"/>
        </w:rPr>
      </w:pPr>
      <w:r>
        <w:rPr>
          <w:rFonts w:ascii="Times New Roman" w:hAnsi="Times New Roman"/>
          <w:color w:val="000000"/>
          <w:sz w:val="24"/>
        </w:rPr>
        <w:t>The foregoing general release does not apply to any of Employee’s claims that cannot be released as a matter of law and does not limit any rights Employee may have under the National Labor Relations Act. The Parties agree and acknowledge that the release and waiver set forth above shall not prevent Employee from participating in or cooperating with any state or federal agency’s investigation or charge of discrimination, including the Equal Employment Opportunity Commission (“EEOC”). The Parties further agree and acknowledge that nothing in the Agreement prevents or prohibits Employee from filing a charge of discrimination with a state or federal agency, including the EEOC. However, Employee understands and agrees that Employee is giving up the opportunity to recover any compensation, damages, or any other form of relief in any proceeding brought by Employee or on Employee’s behalf.</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Older Worker's Benefit Protection Act</w:t>
      </w:r>
      <w:r>
        <w:rPr>
          <w:rFonts w:ascii="Times New Roman" w:hAnsi="Times New Roman"/>
          <w:color w:val="000000"/>
          <w:sz w:val="24"/>
        </w:rPr>
        <w:t xml:space="preserve">. This Agreement constitutes a knowing and voluntary waiver of any and all rights or claims that Employee has or may have under the Federal Age Discrimination in Employment Act, as amended by the Older Workers' Benefit Protection Act of 1990, 29 U.S.C. §§ 621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This paragraph and this Agreement are written in a manner calculated to be understood by Employee. Employee is hereby advised in writing:</w:t>
      </w:r>
    </w:p>
    <w:p>
      <w:pPr>
        <w:pStyle w:val="TextBody"/>
        <w:bidi w:val="0"/>
        <w:spacing w:before="0" w:after="240"/>
        <w:jc w:val="both"/>
        <w:rPr>
          <w:rFonts w:ascii="Times New Roman" w:hAnsi="Times New Roman"/>
          <w:sz w:val="20"/>
        </w:rPr>
      </w:pPr>
      <w:r>
        <w:rPr>
          <w:rFonts w:ascii="Times New Roman" w:hAnsi="Times New Roman"/>
          <w:color w:val="000000"/>
          <w:sz w:val="24"/>
          <w:u w:val="single"/>
        </w:rPr>
        <w:t>(1)</w:t>
      </w:r>
      <w:r>
        <w:rPr>
          <w:rFonts w:ascii="Times New Roman" w:hAnsi="Times New Roman"/>
          <w:color w:val="000000"/>
          <w:sz w:val="20"/>
        </w:rPr>
        <w:t xml:space="preserve"> </w:t>
      </w:r>
      <w:r>
        <w:rPr>
          <w:rFonts w:ascii="Times New Roman" w:hAnsi="Times New Roman"/>
          <w:color w:val="000000"/>
          <w:sz w:val="24"/>
        </w:rPr>
        <w:t xml:space="preserve">To consult with an attorney before signing this Agreement. </w:t>
        <w:br/>
        <w:br/>
        <w:t xml:space="preserve">(2) Employee has up to 21 days to consider whether to sign this Agreement. If Employee decides not to use all 21 days, Employee knowingly and voluntarily waives any claims that Employee was not given the 21-day period or did not use the entire 21 days to consider this Agreement. </w:t>
        <w:br/>
        <w:br/>
        <w:t>(3) Employee may revoke this Agreement at any time within the 7-day period following the date Employee signs this Agreement by providing written notice of revocation to the Company by email to</w:t>
      </w:r>
      <w:r>
        <w:rPr>
          <w:rFonts w:ascii="Times New Roman" w:hAnsi="Times New Roman"/>
          <w:color w:val="000000"/>
          <w:sz w:val="20"/>
        </w:rPr>
        <w:t xml:space="preserve"> </w:t>
      </w:r>
      <w:r>
        <w:rPr>
          <w:rFonts w:ascii="Times New Roman" w:hAnsi="Times New Roman"/>
          <w:color w:val="000000"/>
          <w:sz w:val="24"/>
        </w:rPr>
        <w:t>the Chair of the Board of Directors [email address] so that said revocation notice is received before the expiration of the 7-day revocation period (the “Revocation Period”). If Employee revokes the Agreement within the Revocation Period, Employee will not receive the consideration set forth in the Agreement.</w:t>
      </w:r>
    </w:p>
    <w:p>
      <w:pPr>
        <w:pStyle w:val="TextBody"/>
        <w:bidi w:val="0"/>
        <w:jc w:val="left"/>
        <w:rPr>
          <w:rFonts w:ascii="Times New Roman" w:hAnsi="Times New Roman"/>
          <w:sz w:val="20"/>
        </w:rPr>
      </w:pPr>
      <w:r>
        <w:rPr>
          <w:rFonts w:ascii="Times New Roman" w:hAnsi="Times New Roman"/>
          <w:color w:val="000000"/>
          <w:sz w:val="24"/>
        </w:rPr>
        <w:t>Release of Unknown Claims. Employee has reviewed and hereby expressly waives the provisions of Section 1542 of the California Civil Code, which provides as follows:</w:t>
        <w:br/>
        <w:br/>
        <w:t>A GENERAL RELEASE DOES NOT EXTEND TO CLAIMS THAT THE CREDITOR OR RELEASING PARTY DOES NOT KNOW OR SUSPECT TO EXIST IN HIS OR HER FAVOR AT THE TIME OF EXECUTING THE RELEASE AND THAT, IF KNOWN BY HIM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OR HER, WOULD HAVE MATERIALLY AFFECTED HIS OR HER SETTLEMENT WITH THE DEBTOR OR RELEASED PARTY. </w:t>
        <w:br/>
        <w:br/>
        <w:t>This Agreement extends to all claims or causes of action, of every nature and kind whatsoever, known or unknown, suspected or unsuspected, enumerated in this Agreement or otherwise. Employee may hereafter discover presently unknown facts or claims different from or in addition to those that Employee now knows as to the matters released herein. Nevertheless, it is Employee’s intention, through this Agreement, to fully release all such matters and all claims related thereto, which do now exist, may exist or heretofore have existed.</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Covenant Not to Sue</w:t>
      </w:r>
      <w:r>
        <w:rPr>
          <w:rFonts w:ascii="Times New Roman" w:hAnsi="Times New Roman"/>
          <w:color w:val="000000"/>
          <w:sz w:val="24"/>
        </w:rPr>
        <w:t>. Employee has not, and will not, directly or indirectly institute any legal action against the Released Parties based upon, arising out of, or relating to any claims released in this Agreement, to the extent allowed by law. Employee has not, and will not, directly or indirectly encourage and/or solicit any third party to institute any legal action against the Company or Released Parties, to the extent allowed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Inquiries</w:t>
      </w:r>
      <w:r>
        <w:rPr>
          <w:rFonts w:ascii="Times New Roman" w:hAnsi="Times New Roman"/>
          <w:color w:val="000000"/>
          <w:sz w:val="24"/>
        </w:rPr>
        <w:t xml:space="preserve">. The Company will respond to any inquiries about Employee’s employment by providing only Employee’s dates of employment and job titles. Employee will direct all such inquiries only to [name and email of HR]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No Workplace Injuries</w:t>
      </w:r>
      <w:r>
        <w:rPr>
          <w:rFonts w:ascii="Times New Roman" w:hAnsi="Times New Roman"/>
          <w:color w:val="000000"/>
          <w:sz w:val="24"/>
        </w:rPr>
        <w:t>. Employee has not sustained any workplace injury of any kind during Employee’s employment with the Company, and Employee does not intend to file any claim for or seek any workers’ compensation benefits.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Non-Disclosure of Confidential, Trade Secret, or Proprietary Information</w:t>
      </w:r>
      <w:r>
        <w:rPr>
          <w:rFonts w:ascii="Times New Roman" w:hAnsi="Times New Roman"/>
          <w:color w:val="000000"/>
          <w:sz w:val="24"/>
        </w:rPr>
        <w:t xml:space="preserve">. Employee agrees that Employee will continue to be bound by the Confidentiality and Non-Disclosure Agreement executed by Employee on [DATE] to the extent it is enforceable under current law, and will not use any Trade Secrets, Confidential Information, or Proprietary Information in order to compete with the Company and/or its affiliates or for any other purpose. Employee will not, for any reason, disclose to others or use for the benefit of anyone other than the Company any trade secret, confidential or proprietary information of the Company, including, but not limited to information relating to the Company’s customers, employees, consultants, affiliates, partners, products, services, know-how, techniques, computer systems, programs, policies and procedures, research, projects, future developments, costs, profits, pricing, customer and client information. The use of any trade secret, confidential or proprietary information belonging to the Company shall be a material breach of this Agreement. Employee acknowledges and agrees that Employee’s obligations provided herein are necessary and reasonable in order to protect the Company and its affiliates and their respective business and Employee expressly agrees that monetary damages would be inadequate to compensate the Company and/or its affiliates for any breach by Employee of Employee’s covenants and agreements set forth herein. Accordingly, Employee agrees and acknowledges that any such violation of this Section 9 will cause irreparable injury to the Company and that, in addition to any other remedies that may be available, in law, in equity or otherwise, the Company and its affiliates shall be entitled to seek injunctive relief against the breach of this Section 9 or the continuation of any such breach by the Employee without the necessity of proving actual damages. In the event Employee directly or indirectly breaches (or causes others to breach) the confidentiality provisions of this Section 9, the Parties stipulate and agree that that damages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breach of such obligation would be, and are, difficult and impractical to ascertain. The Parties further acknowledge and agree that there is a benefit to each Party in fixing a limitation on damages based on good-faith estimates of the damages expected in the event of a breach of the confidentiality provisions of this Section 9. Accordingly, Employee agrees to pay Company the sum of ten thousand ($10,000) for each incident of breach, representing a sum that the Parties agree is reasonable in light of the circumstances existing at the time of this Agreement. Any claimed breach of the obligations of this Section 9 shall be proved by a preponderance of the evidence, and the prevailing party in any action brought for violation of this Section 9 shall be entitled to recover its reasonable attorney’s fees and costs as determined by a Court of competent jurisdiction. The Parties acknowledge and agree that this provision for liquidated damages does not constitute a penalty or forfeiture within the meaning of Civil Code sections 3275 or 3369 or any other provision of California law. Neither the breach of this Section 9 nor the payment of liquidated damages by Employee shall affect the continuing validity or enforceability of this Agreement.</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Defend Trade Secrets Act</w:t>
      </w:r>
      <w:r>
        <w:rPr>
          <w:rFonts w:ascii="Times New Roman" w:hAnsi="Times New Roman"/>
          <w:color w:val="000000"/>
          <w:sz w:val="24"/>
        </w:rPr>
        <w:t>. Notwithstanding anything contained herein or in any other confidentiality provision to which Employee may be or may have been subject as a result of Employee’s employment with the Company, nothing shall prohibit Employee from communicating with government authorities concerning any possible legal violations. The Company nonetheless asserts and does not waive its attorney-client privilege over any information appropriately protected by the privilege. Employee is advised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However, Employee understands that in the event that disclosure of the Company’s trade secrets was not done in good faith pursuant to the above, Employee will be subject to substantial damages, including punitive damages and attorneys’ fees. Employee acknowledges that these obligations are supplemental to, and do not replace or alter, his existing obligations pursuant to the Offer of Employment executed by Employee on [DATE], the Employee Confidentiality and Non-Disclosure Agreement executed by Employee on [DATE], or any other similar documents.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Cooperation after Separation</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During the 9-month severance period, Employee will be expected to provide such assistance to the Company and its counsel as they may request in regard to any matters of which Employee has particular knowledge as a result of Employee’s employment with the Company. Such assistance shall include, but is not limited to, answering any inquiries the Company may have or receive regarding the execution of Employee’s past duties at the Company, acting as a resource person in matters relevant to Employee’s knowledge and experience with the Company, providing information and answers in response to interrogatories or other discovery, giving sworn statements and testifying in arbitrations, depositions and/or trials, and committing to be available, upon reasonable notice, to meet with the Company and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attorneys to adequately prepare for any and all proceedings associated with pending or threatened litigation or arbitration involving the Company. Employee shall not be obligated to provide assistance that would unreasonably and materially interfere with Employee’s business or personal activities.</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that travel or other expenses are incurred by Employee in connection with such assistance or in the event Employee’s deposition is required, the reasonable travel costs and out-of-pocket expenses in connection therewith shall be reimbursed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Return of Company Property and Materials</w:t>
      </w:r>
      <w:r>
        <w:rPr>
          <w:rFonts w:ascii="Times New Roman" w:hAnsi="Times New Roman"/>
          <w:color w:val="000000"/>
          <w:sz w:val="24"/>
        </w:rPr>
        <w:t>. Employee acknowledges that Employee has returned to the Company all the Company’s records, documents, electronically stored information, and tangible embodiments of such, in Employee’s possession, including but not limited to the Company’s trade secrets, confidential information and proprietary information. Employee confirms that Employee has returned to the Company all property of the Company, including but not limited to automobiles, keys, key cards, cellular phones, credit cards, personal and laptop computers, and any other electronic equipment.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Non-Disparagement</w:t>
      </w:r>
      <w:r>
        <w:rPr>
          <w:rFonts w:ascii="Times New Roman" w:hAnsi="Times New Roman"/>
          <w:color w:val="000000"/>
          <w:sz w:val="24"/>
        </w:rPr>
        <w:t xml:space="preserve">. Employee shall not make any defamatory remarks about the Company or its current or former employees, verbally or in writing, including without limitation posting on social media applications such as YouTube, Facebook, X (f.k.a. Twitter), LinkedIn, blogs, or other public fora, or otherwise take any action that could reasonably be anticipated to cause damage to the reputation, goodwill, or business of the Company. </w:t>
      </w:r>
      <w:r>
        <w:rPr>
          <w:rFonts w:ascii="Times New Roman" w:hAnsi="Times New Roman"/>
          <w:color w:val="424449"/>
          <w:sz w:val="24"/>
        </w:rPr>
        <w:t xml:space="preserve">Nothing in this provision or this Agreement (i) </w:t>
      </w:r>
      <w:r>
        <w:rPr>
          <w:rFonts w:ascii="Times New Roman" w:hAnsi="Times New Roman"/>
          <w:color w:val="000000"/>
          <w:sz w:val="24"/>
        </w:rPr>
        <w:t xml:space="preserve">shall prevent Employee from discussing or disclosing information about unlawful acts in the workplace, such as harassment or discrimination or any other conduct that Employee has reason to believe is unlawful; or (ii) </w:t>
      </w:r>
      <w:r>
        <w:rPr>
          <w:rFonts w:ascii="Times New Roman" w:hAnsi="Times New Roman"/>
          <w:color w:val="424449"/>
          <w:sz w:val="24"/>
        </w:rPr>
        <w:t xml:space="preserve">shall </w:t>
      </w:r>
      <w:r>
        <w:rPr>
          <w:rFonts w:ascii="Times New Roman" w:hAnsi="Times New Roman"/>
          <w:color w:val="000000"/>
          <w:sz w:val="24"/>
        </w:rPr>
        <w:t xml:space="preserve">prevent the disclosure of factual information that is related to a claim filed in a civil action or a complaint filed in an administrative action concerning alleged criminal conduct or alleged sexual harassment on the part of Company or any other Company Entity, or regarding any sexual assault, sexual abuse, sexual harassment, workplace harassment or discrimination; a failure to prevent an act workplace harassment or discrimination; or retaliation against a person for reporting workplace harassment or discrimination, when Employee has been required or requested to attend the proceeding pursuant to a court order, subpoena, or written request from an administrative agency or the legislature.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Non-Participation in Class, Representative, or PAGA Actions</w:t>
      </w:r>
      <w:r>
        <w:rPr>
          <w:rFonts w:ascii="Times New Roman" w:hAnsi="Times New Roman"/>
          <w:color w:val="000000"/>
          <w:sz w:val="24"/>
        </w:rPr>
        <w:t>. Employee agrees not to bring or participate in any class, representative, PAGA or other similar action against Company, and agrees that Employee will opt out of any such action to the extent permitted by law, and that the production of this agreement will be sufficient grounds to exclude Employee from any such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Non-Disclosure</w:t>
      </w:r>
      <w:r>
        <w:rPr>
          <w:rFonts w:ascii="Times New Roman" w:hAnsi="Times New Roman"/>
          <w:color w:val="000000"/>
          <w:sz w:val="24"/>
        </w:rPr>
        <w:t xml:space="preserve">. Employee agrees not to disclose the terms of this Agreement, or the fact of its existence or execution, to anyone other than Employee’s immediate family members, attorneys, financial advisors, or accountants (provided that Employee obtains such person’s written agreement not to disclose the fact or terms of this Agreement and that a breach by such person shall be considered a breach by Employee), governmental taxing authorities,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pursuant to a subpoena or order of a court of competent jurisdiction, or to the SEC, OSHA, EEOC, CRD, NLRB, or similar agency, to the extent such disclosures are required by law.</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Tax Obligations and Indemnification</w:t>
      </w:r>
      <w:r>
        <w:rPr>
          <w:rFonts w:ascii="Times New Roman" w:hAnsi="Times New Roman"/>
          <w:color w:val="000000"/>
          <w:sz w:val="24"/>
        </w:rPr>
        <w:t>. Employee understands, acknowledges, and agrees that Employee is solely responsible for all tax obligations attributable to Employee, including all reporting and payment obligations that may arise as a consequence of this. Neither Company nor any of the Released Parties make any warranty concerning the treatment under federal or state tax laws for any funds paid pursuant to this Agreement, and Employee expressly acknowledges and agrees that neither Company nor any of the Released Parties has made any promise, representation, or warranty, express or implied, regarding the tax consequences of any sum paid to Employee pursuant to this Agreement. Employee agrees to indemnify and hold harmless Company, Released Parties, and any person or entity affiliated with Company, from any tax liability or penalties attributable to Employee that may arise from this Agreement. Employee further acknowledges and agrees that Company does not, and shall not, have any obligation to indemnify or defend Employee in any tax proceedings or from any tax consequences that could result from any payments made in accordance with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CIRCULAR 230 DISCLAIMER</w:t>
      </w:r>
      <w:r>
        <w:rPr>
          <w:rFonts w:ascii="Times New Roman" w:hAnsi="Times New Roman"/>
          <w:color w:val="000000"/>
          <w:sz w:val="24"/>
        </w:rPr>
        <w:t>. EMPLOYEE (FOR PURPOSES OF THIS SECTION, THE "ACKNOWLEDGING PARTY"; AND EACH PARTY TO THIS AGREEMENT OTHER THAN THE ACKNOWLEDGING PARTY, AN "OTHER PARTY") ACKNOWLEDGE AND AGREE: (1) NO PROVISION OF THIS AGREEMENT, AND NO WRITTEN COMMUNICATION OR DISCLOSURE BETWEEN OR AMONG THE PARTIES OR THEIR ATTORNEYS AND OTHER ADVISERS, IS OR WAS INTENDED TO BE, NOR SHALL ANY SUCH COMMUNICATION OR DISCLOSURE CONSTITUTE OR BE CONSTRUED OR BE RELIED UPON AS, TAX ADVICE WITHIN THE MEANING OF UNITED STATES TREASURY DEPARTMENT CIRCULAR 230 (31 CFR PART 10, AS AMENDED); (2) THE ACKNOWLEDGING PARTY (A) HAS RELIED EXCLUSIVELY UPON HIS, HER OR ITS OWN INDEPENDENT LEGAL AND TAX ADVISERS FOR ADVICE (INCLUDING TAX ADVICE) IN CONNECTION WITH THIS AGREEMENT, (B) HAS NOT ENTERED INTO THIS AGREEMENT BASED UPON THE RECOMMENDATION OF ANY OTHER PARTY OR ANY ATTORNEY OR ADVISOR TO ANY OTHER PARTY, AND (C) IS NOT ENTITLED TO RELY UPON ANY COMMUNICATION OR DISCLOSURE BY ANY ATTORNEY OR ADVISER TO ANY OTHER PARTY TO AVOID ANY TAX PENALTY THAT MAY BE IMPOSED ON THE ACKNOWLEDGING PARTY; AND (3) NO ATTORNEY OR ADVISER TO ANY OTHER PARTY HAS IMPOSED ANY LIMITATION THAT PROTECTS THE CONFIDENTIALITY OF ANY SUCH ATTORNEY'S OR ADVISER'S TAX STRATEGIES (REGARDLESS OF WHETHER SUCH LIMITATION IS LEGALLY BINDING) UPON DISCLOSURE BY THE ACKNOWLEDGING PARTY OF THE TAX TREATMENT OR TAX STRUCTURE OF ANY TRANSACTION, INCLUDING ANY TRANSACTION CONTEMPLATED BY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Arbitration</w:t>
      </w:r>
      <w:r>
        <w:rPr>
          <w:rFonts w:ascii="Times New Roman" w:hAnsi="Times New Roman"/>
          <w:color w:val="000000"/>
          <w:sz w:val="24"/>
        </w:rPr>
        <w:t xml:space="preserve">. Except for claims for emergency equitable or injunctive relief which cannot be timely addressed through arbitration, the Parties agree to submit any claim or dispute arising out of the terms of this Agreement to private and confidential arbitration by a single neutral arbitrator through Judicial Arbitration and Mediation Services, Inc. ("JAMS"). The JAMS Streamlined Arbitration Rules &amp; Procedures in effect at the time of the claim or dispute 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arbitrated will govern the procedure for the arbitration proceedings between the Parties. The arbitration shall take place in San Diego County, California. The arbitrator in this matter shall not have the power to modify any of the provisions of this Agreement. The decision of the arbitrator shall be final and binding on all Parties to this Agreement, and judgment thereon may be entered in any court having jurisdiction. The Party initiating the arbitration shall advance the arbitrator's fee and all costs of services provided by the arbitrator and arbitration organization. However, all the costs of the arbitration proceeding or litigation to enforce this Agreement, including attorneys' fees and costs, shall be paid as the arbitrator or court awards in accordance with applicable law. The Parties hereby waive any right to a jury trial on any dispute or claim covered by this Agreement, to the fullest extent permitted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Employee Representations and Acknowledgments</w:t>
      </w:r>
      <w:r>
        <w:rPr>
          <w:rFonts w:ascii="Times New Roman" w:hAnsi="Times New Roman"/>
          <w:color w:val="000000"/>
          <w:sz w:val="24"/>
        </w:rPr>
        <w:t xml:space="preserve">. Employee hereby represents and warrants to the Company that Employee (a) has read this Agreement in its entirety, (b) has all requisite power and authority to execute and deliver this Agreement and to perform his or her obligations hereunder, (c) fully understands the contents of this Agreement, (d) freely, voluntarily and without coercion enters into this Agreement, and (e) is signing it with full knowledge that it is intended, to the maximum extent permitted by law, as a complete release and waiver of any and all claims.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rFonts w:ascii="Times New Roman" w:hAnsi="Times New Roman"/>
          <w:color w:val="000000"/>
          <w:sz w:val="24"/>
          <w:u w:val="single"/>
        </w:rPr>
        <w:t>Severability.</w:t>
      </w:r>
      <w:r>
        <w:rPr>
          <w:color w:val="000000"/>
        </w:rPr>
        <w:t xml:space="preserve"> </w:t>
      </w:r>
      <w:r>
        <w:rPr>
          <w:rFonts w:ascii="Times New Roman" w:hAnsi="Times New Roman"/>
          <w:color w:val="000000"/>
          <w:sz w:val="24"/>
        </w:rPr>
        <w:t>In the event any provision of this Agreement is held to be void, null or unenforceable, the remaining portions shall remain in full force and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pPr>
      <w:r>
        <w:rPr>
          <w:rFonts w:ascii="Times New Roman" w:hAnsi="Times New Roman"/>
          <w:color w:val="000000"/>
          <w:sz w:val="24"/>
          <w:u w:val="single"/>
        </w:rPr>
        <w:t>No Admission of Wrongdoing</w:t>
      </w:r>
      <w:r>
        <w:rPr>
          <w:rFonts w:ascii="Times New Roman" w:hAnsi="Times New Roman"/>
          <w:color w:val="000000"/>
          <w:sz w:val="24"/>
        </w:rPr>
        <w:t>. Neither this Agreement nor the furnishing of the consideration for this Agreement shall be deemed or construed as an admission of liability or wrongdoing on the part of the Released Parties, nor shall they be admissible as evidence in any proceeding other than for the enforcement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Modification</w:t>
      </w:r>
      <w:r>
        <w:rPr>
          <w:rFonts w:ascii="Times New Roman" w:hAnsi="Times New Roman"/>
          <w:color w:val="000000"/>
          <w:sz w:val="24"/>
        </w:rPr>
        <w:t>. This Agreement cannot be modified in any respect except in a written instrument signed by both Parties.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Entire Agreement</w:t>
      </w:r>
      <w:r>
        <w:rPr>
          <w:rFonts w:ascii="Times New Roman" w:hAnsi="Times New Roman"/>
          <w:color w:val="000000"/>
          <w:sz w:val="24"/>
        </w:rPr>
        <w:t xml:space="preserve">. This Agreement sets forth the entire agreement between the Parties hereto, and fully supersedes any prior agreements or understandings between the Parties, except for any confidentiality agreements and/or the restrictive covenants between the Parties, which shall remain in full force and effect to the greatest extent permitted by law.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No Reliance</w:t>
      </w:r>
      <w:r>
        <w:rPr>
          <w:rFonts w:ascii="Times New Roman" w:hAnsi="Times New Roman"/>
          <w:color w:val="000000"/>
          <w:sz w:val="24"/>
        </w:rPr>
        <w:t>. Employee has not relied on any representations, promises, or agreements of any kind made to Employee in connection with Employee’s decision to accept this Agreement, except for those set forth in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Interpretation</w:t>
      </w:r>
      <w:r>
        <w:rPr>
          <w:rFonts w:ascii="Times New Roman" w:hAnsi="Times New Roman"/>
          <w:color w:val="000000"/>
          <w:sz w:val="24"/>
        </w:rPr>
        <w:t>. Any uncertainty or ambiguity in the Agreement shall not be construed for or against any Party based on the attribution of drafting to any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Headings</w:t>
      </w:r>
      <w:r>
        <w:rPr>
          <w:rFonts w:ascii="Times New Roman" w:hAnsi="Times New Roman"/>
          <w:color w:val="000000"/>
          <w:sz w:val="24"/>
        </w:rPr>
        <w:t>. The paragraph headings used in the Agreement are included solely for convenience and shall not affect or be used in connection with the interpretation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by the Parties in counterparts, which are defined as duplicate originals, all of which taken together shall be construed as one document.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left"/>
        <w:rPr/>
      </w:pPr>
      <w:r>
        <w:rPr>
          <w:rFonts w:ascii="Times New Roman" w:hAnsi="Times New Roman"/>
          <w:color w:val="000000"/>
          <w:sz w:val="24"/>
          <w:u w:val="single"/>
        </w:rPr>
        <w:t>Signature</w:t>
      </w:r>
      <w:r>
        <w:rPr>
          <w:rFonts w:ascii="Times New Roman" w:hAnsi="Times New Roman"/>
          <w:color w:val="000000"/>
          <w:sz w:val="24"/>
        </w:rPr>
        <w:t>. A signature by DocuSign, email, or other electronic means on this Agreement shall be as legally binding as an original signature.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left"/>
        <w:rPr/>
      </w:pPr>
      <w:r>
        <w:rPr>
          <w:rFonts w:ascii="Times New Roman" w:hAnsi="Times New Roman"/>
          <w:color w:val="000000"/>
          <w:sz w:val="24"/>
          <w:u w:val="single"/>
        </w:rPr>
        <w:t>Governing Law</w:t>
      </w:r>
      <w:r>
        <w:rPr>
          <w:rFonts w:ascii="Times New Roman" w:hAnsi="Times New Roman"/>
          <w:color w:val="000000"/>
          <w:sz w:val="24"/>
        </w:rPr>
        <w:t xml:space="preserve">. This Agreement shall be governed and conformed in accordance with the laws of the State of California, without regard to its conflicts of law principles.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PLEASE READ CAREFULLY. THIS AGREEMENT INCLUDES A RELEASE OF ALL KNOWN AND UNKNOWN CLAIMS.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Executed on ___, ____ by: _______________________________________ [EMPLOYEE NAME]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Executed on ___, ____ by: _______________________________________ [Chief Executive Officer]</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Exhibit B</w:t>
      </w:r>
      <w:r>
        <w:rPr>
          <w:rFonts w:ascii="Times New Roman" w:hAnsi="Times New Roman"/>
          <w:b/>
          <w:color w:val="000000"/>
          <w:sz w:val="24"/>
        </w:rPr>
        <w:br/>
        <w:br/>
        <w:t>Confidentiality and Inventions Agreement</w:t>
      </w:r>
    </w:p>
    <w:p>
      <w:pPr>
        <w:pStyle w:val="TextBody"/>
        <w:bidi w:val="0"/>
        <w:spacing w:before="0" w:after="240"/>
        <w:jc w:val="center"/>
        <w:rPr>
          <w:rFonts w:ascii="Arial" w:hAnsi="Arial"/>
          <w:b/>
          <w:color w:val="000000"/>
          <w:sz w:val="24"/>
        </w:rPr>
      </w:pPr>
      <w:r>
        <w:rPr>
          <w:rFonts w:ascii="Arial" w:hAnsi="Arial"/>
          <w:b/>
          <w:color w:val="000000"/>
          <w:sz w:val="24"/>
        </w:rPr>
        <w:t>EMPLOYEE CONFIDENTIALITY &amp; NON-DISCLOSURE AGREEMENT</w:t>
      </w:r>
    </w:p>
    <w:p>
      <w:pPr>
        <w:pStyle w:val="TextBody"/>
        <w:bidi w:val="0"/>
        <w:jc w:val="both"/>
        <w:rPr>
          <w:rFonts w:ascii="Times New Roman" w:hAnsi="Times New Roman"/>
          <w:sz w:val="20"/>
        </w:rPr>
      </w:pPr>
      <w:bookmarkStart w:id="46" w:name="text42"/>
      <w:bookmarkEnd w:id="46"/>
      <w:r>
        <w:rPr>
          <w:rFonts w:ascii="Arial" w:hAnsi="Arial"/>
          <w:color w:val="000000"/>
          <w:sz w:val="24"/>
        </w:rPr>
        <w:t>This Employee Confidentiality &amp; Non-Disclosure Agreement (“Agreement”) is made as of [Date] by and between</w:t>
      </w:r>
      <w:r>
        <w:rPr>
          <w:rFonts w:ascii="Times New Roman" w:hAnsi="Times New Roman"/>
          <w:color w:val="000000"/>
          <w:sz w:val="20"/>
        </w:rPr>
        <w:t xml:space="preserve"> </w:t>
      </w:r>
      <w:r>
        <w:rPr>
          <w:rFonts w:ascii="Arial" w:hAnsi="Arial"/>
          <w:color w:val="000000"/>
          <w:sz w:val="24"/>
        </w:rPr>
        <w:t>Ajay Aggarwal, M.D. (“Employee”) and Cardiff Oncology, Inc. (the “Company”) with respect to the following facts: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A. Employee is about to become a paid employee of the Company based in California;</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Arial" w:hAnsi="Arial"/>
          <w:color w:val="000000"/>
          <w:sz w:val="24"/>
        </w:rPr>
        <w:t>In connection with this employment, Employee will have access to certain confidential, proprietary, and/or trade secret information of the Company, and may in the course of employment with the Company participate in creating such information.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4"/>
        </w:rPr>
        <w:t>THEREFORE, in consideration of Employee’s employment with the Company as well as the compensation that will be paid to Employee by the Company, Employee agrees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1.</w:t>
      </w:r>
    </w:p>
    <w:p>
      <w:pPr>
        <w:pStyle w:val="TextBody"/>
        <w:bidi w:val="0"/>
        <w:spacing w:before="0" w:after="240"/>
        <w:jc w:val="both"/>
        <w:rPr/>
      </w:pPr>
      <w:r>
        <w:rPr>
          <w:rFonts w:ascii="Arial" w:hAnsi="Arial"/>
          <w:color w:val="000000"/>
          <w:sz w:val="24"/>
          <w:u w:val="single"/>
        </w:rPr>
        <w:t>Definitions.</w:t>
      </w:r>
      <w:r>
        <w:rPr>
          <w:color w:val="000000"/>
        </w:rPr>
        <w:t xml:space="preserve"> </w:t>
      </w:r>
    </w:p>
    <w:p>
      <w:pPr>
        <w:pStyle w:val="TextBody"/>
        <w:bidi w:val="0"/>
        <w:spacing w:before="0" w:after="240"/>
        <w:jc w:val="both"/>
        <w:rPr>
          <w:rFonts w:ascii="Arial" w:hAnsi="Arial"/>
          <w:color w:val="000000"/>
          <w:sz w:val="24"/>
        </w:rPr>
      </w:pPr>
      <w:r>
        <w:rPr>
          <w:rFonts w:ascii="Arial" w:hAnsi="Arial"/>
          <w:color w:val="000000"/>
          <w:sz w:val="24"/>
        </w:rPr>
        <w:t>1.1 “Confidential Information” is defined as all non-public information obtained by Employee from or pertaining to the Company and its business during the course of Employee's employment with the Company, including but not limited to the Company’s Trade Secrets; inventions, designs, improvements, methodology, concepts; plans and results of research and development; marketing and advertising strategies; lists of present and future clients; client contracts; all data obtained from or related to Company clients, including their preferences and contracting habits or terms; supplier lists and information; any Company personnel information (except concerning the Employee); cost figures; pricing; financial information; software; systems; special techniques of any kind peculiar to the Company’s products, services, or operations; special ideas, plans, proposals, processes or information related to the current, future and proposed business, products, services or sales of the Company and its clients; and any other information that Employee receives as a result of Employee’s employment with the Company that has not been disclosed previously to the general public by an authorized Company representative or client. This specifically includes all information the Company receives from clients or other third parties that is not generally known to the public or is subject to a confidentiality agreement. Confidential Information does not include general industry skills, experience, or know-how, and does not include information that is generally available to the public.</w:t>
      </w:r>
    </w:p>
    <w:p>
      <w:pPr>
        <w:pStyle w:val="TextBody"/>
        <w:bidi w:val="0"/>
        <w:jc w:val="both"/>
        <w:rPr>
          <w:rFonts w:ascii="Times New Roman" w:hAnsi="Times New Roman"/>
          <w:sz w:val="20"/>
        </w:rPr>
      </w:pPr>
      <w:r>
        <w:rPr>
          <w:rFonts w:ascii="Arial" w:hAnsi="Arial"/>
          <w:color w:val="000000"/>
          <w:sz w:val="24"/>
        </w:rPr>
        <w:t>1.2 “Services”</w:t>
      </w:r>
      <w:r>
        <w:rPr>
          <w:rFonts w:ascii="Times New Roman" w:hAnsi="Times New Roman"/>
          <w:color w:val="000000"/>
          <w:sz w:val="20"/>
        </w:rPr>
        <w:t xml:space="preserve"> </w:t>
      </w:r>
      <w:r>
        <w:rPr>
          <w:rFonts w:ascii="Arial" w:hAnsi="Arial"/>
          <w:color w:val="000000"/>
          <w:sz w:val="24"/>
        </w:rPr>
        <w:t>means any tasks performed or services rendered by Employee in the course of Employee’s employment with the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1.3</w:t>
      </w:r>
    </w:p>
    <w:p>
      <w:pPr>
        <w:pStyle w:val="TextBody"/>
        <w:bidi w:val="0"/>
        <w:spacing w:before="0" w:after="240"/>
        <w:jc w:val="both"/>
        <w:rPr/>
      </w:pPr>
      <w:r>
        <w:rPr>
          <w:color w:val="000000"/>
        </w:rPr>
        <w:t>“</w:t>
      </w:r>
      <w:r>
        <w:rPr>
          <w:rFonts w:ascii="Arial" w:hAnsi="Arial"/>
          <w:color w:val="000000"/>
          <w:sz w:val="24"/>
        </w:rPr>
        <w:t>Trade Secret”</w:t>
      </w:r>
      <w:r>
        <w:rPr>
          <w:color w:val="000000"/>
        </w:rPr>
        <w:t xml:space="preserve"> </w:t>
      </w:r>
      <w:r>
        <w:rPr>
          <w:rFonts w:ascii="Arial" w:hAnsi="Arial"/>
          <w:color w:val="000000"/>
          <w:sz w:val="24"/>
        </w:rPr>
        <w:t>has that meaning set forth under applicable law. It includes all information that may be considered a Trade Secret under applicable law.</w:t>
      </w:r>
    </w:p>
    <w:p>
      <w:pPr>
        <w:pStyle w:val="TextBody"/>
        <w:bidi w:val="0"/>
        <w:jc w:val="both"/>
        <w:rPr>
          <w:rFonts w:ascii="Arial" w:hAnsi="Arial"/>
          <w:color w:val="000000"/>
          <w:sz w:val="24"/>
        </w:rPr>
      </w:pPr>
      <w:r>
        <w:rPr>
          <w:rFonts w:ascii="Arial" w:hAnsi="Arial"/>
          <w:color w:val="000000"/>
          <w:sz w:val="24"/>
        </w:rPr>
        <w:t>1.4 “Work Product” means Employee’s works of authorship, discoveries, inventions and innovations resulting from his/her Services, and any Confidential Information and/or Trade Secrets originated or prepared by Employee for, or in the performance of, the Services.</w:t>
      </w:r>
    </w:p>
    <w:p>
      <w:pPr>
        <w:pStyle w:val="TextBody"/>
        <w:bidi w:val="0"/>
        <w:spacing w:before="0" w:after="0"/>
        <w:jc w:val="both"/>
        <w:rPr>
          <w:rFonts w:ascii="Arial" w:hAnsi="Arial"/>
          <w:color w:val="000000"/>
          <w:sz w:val="24"/>
        </w:rPr>
      </w:pPr>
      <w:r>
        <w:rPr>
          <w:rFonts w:ascii="Arial" w:hAnsi="Arial"/>
          <w:color w:val="000000"/>
          <w:sz w:val="24"/>
        </w:rPr>
        <w:t>2</w:t>
      </w:r>
    </w:p>
    <w:p>
      <w:pPr>
        <w:pStyle w:val="TextBody"/>
        <w:bidi w:val="0"/>
        <w:jc w:val="both"/>
        <w:rPr/>
      </w:pPr>
      <w:r>
        <w:rPr>
          <w:rFonts w:ascii="Arial" w:hAnsi="Arial"/>
          <w:color w:val="000000"/>
          <w:sz w:val="24"/>
          <w:u w:val="single"/>
        </w:rPr>
        <w:t>Proprietary Interest &amp; Rights</w:t>
      </w:r>
      <w:r>
        <w:rPr>
          <w:rFonts w:ascii="Arial" w:hAnsi="Arial"/>
          <w:color w:val="000000"/>
          <w:sz w:val="24"/>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4"/>
        </w:rPr>
        <w:t xml:space="preserve">2.1. </w:t>
      </w:r>
      <w:r>
        <w:rPr>
          <w:rFonts w:ascii="Arial" w:hAnsi="Arial"/>
          <w:color w:val="000000"/>
          <w:sz w:val="24"/>
          <w:u w:val="single"/>
        </w:rPr>
        <w:t>Acknowledgment of Company’s Proprietary Interest</w:t>
      </w:r>
      <w:r>
        <w:rPr>
          <w:rFonts w:ascii="Arial" w:hAnsi="Arial"/>
          <w:color w:val="000000"/>
          <w:sz w:val="24"/>
        </w:rPr>
        <w:t>. Employee acknowledges and agrees that any and all Confidential Information and Trade Secrets, whether developed by Employee alone or in conjunction with others, or by other Company employees, or otherwise acquired by the Company, is the sole and exclusive property of the Company. Employee hereby disclaims any proprietary interest in any such Confidential Information and/or Trade Secrets.</w:t>
      </w:r>
    </w:p>
    <w:p>
      <w:pPr>
        <w:pStyle w:val="TextBody"/>
        <w:bidi w:val="0"/>
        <w:spacing w:before="0" w:after="240"/>
        <w:jc w:val="both"/>
        <w:rPr>
          <w:rFonts w:ascii="Times New Roman" w:hAnsi="Times New Roman"/>
          <w:sz w:val="20"/>
        </w:rPr>
      </w:pPr>
      <w:r>
        <w:rPr>
          <w:rFonts w:ascii="Arial" w:hAnsi="Arial"/>
          <w:color w:val="000000"/>
          <w:sz w:val="24"/>
        </w:rPr>
        <w:t xml:space="preserve">2.2 </w:t>
      </w:r>
      <w:r>
        <w:rPr>
          <w:rFonts w:ascii="Arial" w:hAnsi="Arial"/>
          <w:color w:val="000000"/>
          <w:sz w:val="24"/>
          <w:u w:val="single"/>
        </w:rPr>
        <w:t>Rights to Confidential Information, Trade Secrets and Work Product</w:t>
      </w:r>
      <w:r>
        <w:rPr>
          <w:rFonts w:ascii="Arial" w:hAnsi="Arial"/>
          <w:color w:val="000000"/>
          <w:sz w:val="24"/>
        </w:rPr>
        <w:t>. Employee acknowledges and agrees that all Confidential Information and Trade Secrets shall remain the exclusive property of the Company. Employee is authorized to use Confidential Information and Trade Secrets solely to perform Services for the benefit of the Company. No license, express or implied, to use any of the Company’s Confidential Information or Trade Secrets is granted under this Agreement.</w:t>
      </w:r>
    </w:p>
    <w:p>
      <w:pPr>
        <w:pStyle w:val="TextBody"/>
        <w:bidi w:val="0"/>
        <w:spacing w:before="0" w:after="240"/>
        <w:jc w:val="both"/>
        <w:rPr>
          <w:rFonts w:ascii="Times New Roman" w:hAnsi="Times New Roman"/>
          <w:sz w:val="20"/>
        </w:rPr>
      </w:pPr>
      <w:r>
        <w:rPr>
          <w:rFonts w:ascii="Arial" w:hAnsi="Arial"/>
          <w:color w:val="000000"/>
          <w:sz w:val="24"/>
        </w:rPr>
        <w:t xml:space="preserve">2.3. </w:t>
      </w:r>
      <w:r>
        <w:rPr>
          <w:rFonts w:ascii="Arial" w:hAnsi="Arial"/>
          <w:color w:val="000000"/>
          <w:sz w:val="24"/>
          <w:u w:val="single"/>
        </w:rPr>
        <w:t>Works Made for Hire.</w:t>
      </w:r>
      <w:r>
        <w:rPr>
          <w:rFonts w:ascii="Times New Roman" w:hAnsi="Times New Roman"/>
          <w:color w:val="000000"/>
          <w:sz w:val="20"/>
        </w:rPr>
        <w:t xml:space="preserve"> </w:t>
      </w:r>
      <w:r>
        <w:rPr>
          <w:rFonts w:ascii="Arial" w:hAnsi="Arial"/>
          <w:color w:val="000000"/>
          <w:sz w:val="24"/>
        </w:rPr>
        <w:t>Employee and the Company agree that all Work Product, including any work of authorship, including but not limited to any computer program, source code, processes, techniques, or software, is a “work made for hire” within the meaning of Section 101 of Title 17 of the United States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4"/>
        </w:rPr>
        <w:t xml:space="preserve">2.4. </w:t>
      </w:r>
      <w:r>
        <w:rPr>
          <w:rFonts w:ascii="Arial" w:hAnsi="Arial"/>
          <w:color w:val="000000"/>
          <w:sz w:val="24"/>
          <w:u w:val="single"/>
        </w:rPr>
        <w:t>Assignment of Work Product</w:t>
      </w:r>
      <w:r>
        <w:rPr>
          <w:rFonts w:ascii="Arial" w:hAnsi="Arial"/>
          <w:color w:val="000000"/>
          <w:sz w:val="24"/>
        </w:rPr>
        <w:t>. All Work Product shall be promptly communicated to the Company. Employee hereby assigns to the Company all of Employee’s rights, title and interest in and to all Work Product created in, arising from, or based on Confidential Information and/or Trade Secrets developed during the performance of the Services or provided to Employee during employment with the Company, and to any and all intellectual property rights, including but not limited to, patents, copyrights or trademarks which have been or may be obtained with respect to such Work Product, effective immediately upon origination, creation, preparation or discovery thereof and regardless of the medium of expression thereof. Whenever requested, Employee immediately shall execute a confirmatory assignment of any particular items(s) of Work Product in a form satisfactory to the Company, shall testify in all legal proceedings, sign all lawful papers and otherwise perform all acts necessary or appropriate to enable the Company and its successors and assigns to obtain and document the Company’s ownership of all Work Product and enforce all available legal protections for all such Work Product in all countries.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4"/>
        </w:rPr>
        <w:t xml:space="preserve">2.5 </w:t>
      </w:r>
      <w:r>
        <w:rPr>
          <w:rFonts w:ascii="Arial" w:hAnsi="Arial"/>
          <w:color w:val="000000"/>
          <w:sz w:val="24"/>
          <w:u w:val="single"/>
        </w:rPr>
        <w:t>Exclusion Notice</w:t>
      </w:r>
      <w:r>
        <w:rPr>
          <w:rFonts w:ascii="Arial" w:hAnsi="Arial"/>
          <w:color w:val="000000"/>
          <w:sz w:val="24"/>
        </w:rPr>
        <w:t>. Pursuant to California Labor Code section 2870, the assignment by Employee of inventions under this Agreement does not apply to 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4"/>
        </w:rPr>
      </w:pPr>
      <w:r>
        <w:rPr>
          <w:rFonts w:ascii="Arial" w:hAnsi="Arial"/>
          <w:color w:val="000000"/>
          <w:sz w:val="24"/>
        </w:rPr>
        <w:t>inventions to which all of the following are applicable: (a) no equipment, supplies, facility, or trade secret information of Company were used; (b) the invention or idea does not relate to the business of Company; (c) the invention or idea does not relate to Company’s actual or demonstrably anticipated research or development; (d) the invention or idea does not result from any work performed by Employee for Company; and (e) no part of the invention was developed during times Employee was performing work for the Company.</w:t>
      </w:r>
    </w:p>
    <w:p>
      <w:pPr>
        <w:pStyle w:val="TextBody"/>
        <w:bidi w:val="0"/>
        <w:spacing w:before="0" w:after="240"/>
        <w:jc w:val="both"/>
        <w:rPr/>
      </w:pPr>
      <w:r>
        <w:rPr/>
        <w:t> </w:t>
      </w:r>
    </w:p>
    <w:p>
      <w:pPr>
        <w:pStyle w:val="TextBody"/>
        <w:bidi w:val="0"/>
        <w:jc w:val="both"/>
        <w:rPr/>
      </w:pPr>
      <w:r>
        <w:rPr/>
        <w:t> </w:t>
      </w:r>
    </w:p>
    <w:p>
      <w:pPr>
        <w:pStyle w:val="TextBody"/>
        <w:bidi w:val="0"/>
        <w:spacing w:before="240" w:after="283"/>
        <w:jc w:val="both"/>
        <w:rPr/>
      </w:pPr>
      <w:r>
        <w:rPr/>
        <w:t> </w:t>
      </w:r>
    </w:p>
    <w:p>
      <w:pPr>
        <w:pStyle w:val="TextBody"/>
        <w:bidi w:val="0"/>
        <w:spacing w:before="0" w:after="0"/>
        <w:jc w:val="both"/>
        <w:rPr>
          <w:rFonts w:ascii="Arial" w:hAnsi="Arial"/>
          <w:color w:val="000000"/>
          <w:sz w:val="24"/>
        </w:rPr>
      </w:pPr>
      <w:r>
        <w:rPr>
          <w:rFonts w:ascii="Arial" w:hAnsi="Arial"/>
          <w:color w:val="000000"/>
          <w:sz w:val="24"/>
        </w:rPr>
        <w:t>3.</w:t>
      </w:r>
    </w:p>
    <w:p>
      <w:pPr>
        <w:pStyle w:val="TextBody"/>
        <w:bidi w:val="0"/>
        <w:jc w:val="both"/>
        <w:rPr/>
      </w:pPr>
      <w:r>
        <w:rPr>
          <w:rFonts w:ascii="Arial" w:hAnsi="Arial"/>
          <w:color w:val="000000"/>
          <w:sz w:val="24"/>
          <w:u w:val="single"/>
        </w:rPr>
        <w:t>Protection of Confidential Information and Trade Secrets</w:t>
      </w:r>
      <w:r>
        <w:rPr>
          <w:rFonts w:ascii="Arial" w:hAnsi="Arial"/>
          <w:color w:val="000000"/>
          <w:sz w:val="24"/>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 xml:space="preserve">3.1 </w:t>
      </w:r>
      <w:r>
        <w:rPr>
          <w:rFonts w:ascii="Arial" w:hAnsi="Arial"/>
          <w:color w:val="000000"/>
          <w:sz w:val="24"/>
          <w:u w:val="single"/>
        </w:rPr>
        <w:t>Use or Disclosure.</w:t>
      </w:r>
      <w:r>
        <w:rPr>
          <w:rFonts w:ascii="Times New Roman" w:hAnsi="Times New Roman"/>
          <w:color w:val="000000"/>
          <w:sz w:val="20"/>
        </w:rPr>
        <w:t xml:space="preserve"> </w:t>
      </w:r>
      <w:r>
        <w:rPr>
          <w:rFonts w:ascii="Arial" w:hAnsi="Arial"/>
          <w:color w:val="000000"/>
          <w:sz w:val="24"/>
        </w:rPr>
        <w:t>Employee acknowledges and agrees that the Company is entitled to prevent the unauthorized use and disclosure of its Confidential Information and Trade Secrets. As part of the consideration for Employee’s employment and for the compensation being paid to Employee by the Company, Employee agrees that at all times during the term of his/her employment by the Company, and indefinitely thereafter, Employee will hold in strictest confidence, and will not directly or indirectly use, disclose or allow to be disclosed to any person, firm, or corporation, the Company’s Confidential Information and Trade Secrets, unless previously authorized by the Company for use in the pursuit of Company business, and for the benefit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3.2 </w:t>
      </w:r>
      <w:r>
        <w:rPr>
          <w:rFonts w:ascii="Arial" w:hAnsi="Arial"/>
          <w:color w:val="000000"/>
          <w:sz w:val="24"/>
          <w:u w:val="single"/>
        </w:rPr>
        <w:t>Adverse Use.</w:t>
      </w:r>
      <w:r>
        <w:rPr>
          <w:rFonts w:ascii="Times New Roman" w:hAnsi="Times New Roman"/>
          <w:color w:val="000000"/>
          <w:sz w:val="20"/>
        </w:rPr>
        <w:t xml:space="preserve"> </w:t>
      </w:r>
      <w:r>
        <w:rPr>
          <w:rFonts w:ascii="Arial" w:hAnsi="Arial"/>
          <w:color w:val="000000"/>
          <w:sz w:val="24"/>
        </w:rPr>
        <w:t>Employee will not at any time use any of the Company’s Confidential Information or Trade Secrets in any manner that may directly or indirectly have an adverse effect upon the Company’s business, nor will Employee perform any acts that would tend to reduce the value of the Company’s Confidential Information or Trade Secret.</w:t>
      </w:r>
      <w:r>
        <w:rPr>
          <w:rFonts w:ascii="Times New Roman" w:hAnsi="Times New Roman"/>
          <w:color w:val="000000"/>
          <w:sz w:val="20"/>
        </w:rPr>
        <w:t xml:space="preserve"> </w:t>
      </w:r>
    </w:p>
    <w:p>
      <w:pPr>
        <w:pStyle w:val="TextBody"/>
        <w:bidi w:val="0"/>
        <w:spacing w:before="0" w:after="0"/>
        <w:jc w:val="both"/>
        <w:rPr>
          <w:rFonts w:ascii="Arial" w:hAnsi="Arial"/>
          <w:color w:val="000000"/>
          <w:sz w:val="24"/>
        </w:rPr>
      </w:pPr>
      <w:r>
        <w:rPr>
          <w:rFonts w:ascii="Arial" w:hAnsi="Arial"/>
          <w:color w:val="000000"/>
          <w:sz w:val="24"/>
        </w:rPr>
        <w:t>4.</w:t>
      </w:r>
    </w:p>
    <w:p>
      <w:pPr>
        <w:pStyle w:val="TextBody"/>
        <w:bidi w:val="0"/>
        <w:jc w:val="both"/>
        <w:rPr/>
      </w:pPr>
      <w:r>
        <w:rPr>
          <w:rFonts w:ascii="Arial" w:hAnsi="Arial"/>
          <w:color w:val="000000"/>
          <w:sz w:val="24"/>
          <w:u w:val="single"/>
        </w:rPr>
        <w:t>Property of the Business.</w:t>
      </w:r>
      <w:r>
        <w:rPr>
          <w:color w:val="000000"/>
        </w:rPr>
        <w:t xml:space="preserve"> </w:t>
      </w:r>
      <w:r>
        <w:rPr>
          <w:rFonts w:ascii="Arial" w:hAnsi="Arial"/>
          <w:color w:val="000000"/>
          <w:sz w:val="24"/>
        </w:rPr>
        <w:t>All files, documents, plans, memoranda, notes, lists, records, contracts and other documents or papers (and all copies thereof) relating to the Company’s business, including such items stored in computer memories, on computer disks or by any other means, made or compiled by or on behalf of the Employee or the Company or made available to them relating to the Company’s business, are and shall be the Company’s property and may not be copied or removed from the Company’s premises (either physically or electronically), unless expressly approved by a duly authorized representative of the Company.</w:t>
      </w:r>
    </w:p>
    <w:p>
      <w:pPr>
        <w:pStyle w:val="TextBody"/>
        <w:bidi w:val="0"/>
        <w:jc w:val="left"/>
        <w:rPr/>
      </w:pPr>
      <w:r>
        <w:rPr/>
        <w:t> </w:t>
      </w:r>
    </w:p>
    <w:p>
      <w:pPr>
        <w:pStyle w:val="TextBody"/>
        <w:bidi w:val="0"/>
        <w:spacing w:before="0" w:after="0"/>
        <w:jc w:val="both"/>
        <w:rPr>
          <w:rFonts w:ascii="Arial" w:hAnsi="Arial"/>
          <w:color w:val="000000"/>
          <w:sz w:val="24"/>
        </w:rPr>
      </w:pPr>
      <w:r>
        <w:rPr>
          <w:rFonts w:ascii="Arial" w:hAnsi="Arial"/>
          <w:color w:val="000000"/>
          <w:sz w:val="24"/>
        </w:rPr>
        <w:t>5.</w:t>
      </w:r>
    </w:p>
    <w:p>
      <w:pPr>
        <w:pStyle w:val="TextBody"/>
        <w:bidi w:val="0"/>
        <w:jc w:val="both"/>
        <w:rPr/>
      </w:pPr>
      <w:r>
        <w:rPr>
          <w:rFonts w:ascii="Arial" w:hAnsi="Arial"/>
          <w:color w:val="000000"/>
          <w:sz w:val="24"/>
          <w:u w:val="single"/>
        </w:rPr>
        <w:t>Third Party Trade Secrets</w:t>
      </w:r>
      <w:r>
        <w:rPr>
          <w:rFonts w:ascii="Arial" w:hAnsi="Arial"/>
          <w:color w:val="000000"/>
          <w:sz w:val="24"/>
        </w:rPr>
        <w:t xml:space="preserve">. Employee will not disclose to the Company or use in his/her work any Trade Secrets or inventions of his/her former employers or any third party which Employee is not lawfully entitled to disclose or use. Employee agrees to disclose to the Company, on Attachment “A” hereto, all agreements now in effect under which Employee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has agreed to maintain the confidentiality of the information of, or to not compete with, a third party.</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6.</w:t>
      </w:r>
    </w:p>
    <w:p>
      <w:pPr>
        <w:pStyle w:val="TextBody"/>
        <w:bidi w:val="0"/>
        <w:spacing w:before="0" w:after="240"/>
        <w:jc w:val="both"/>
        <w:rPr/>
      </w:pPr>
      <w:r>
        <w:rPr>
          <w:rFonts w:ascii="Arial" w:hAnsi="Arial"/>
          <w:color w:val="000000"/>
          <w:sz w:val="24"/>
          <w:u w:val="single"/>
        </w:rPr>
        <w:t>Restrictions During Employment</w:t>
      </w:r>
      <w:r>
        <w:rPr>
          <w:rFonts w:ascii="Arial" w:hAnsi="Arial"/>
          <w:color w:val="000000"/>
          <w:sz w:val="24"/>
        </w:rPr>
        <w:t xml:space="preserve">. </w:t>
      </w:r>
    </w:p>
    <w:p>
      <w:pPr>
        <w:pStyle w:val="TextBody"/>
        <w:bidi w:val="0"/>
        <w:spacing w:before="0" w:after="120"/>
        <w:jc w:val="left"/>
        <w:rPr>
          <w:rFonts w:ascii="Times New Roman" w:hAnsi="Times New Roman"/>
          <w:sz w:val="20"/>
        </w:rPr>
      </w:pPr>
      <w:r>
        <w:rPr>
          <w:rFonts w:ascii="Arial" w:hAnsi="Arial"/>
          <w:color w:val="000000"/>
          <w:sz w:val="24"/>
        </w:rPr>
        <w:t xml:space="preserve">6.1 </w:t>
      </w:r>
      <w:r>
        <w:rPr>
          <w:rFonts w:ascii="Arial" w:hAnsi="Arial"/>
          <w:color w:val="000000"/>
          <w:sz w:val="24"/>
          <w:u w:val="single"/>
        </w:rPr>
        <w:t>Non-Solicitation.</w:t>
      </w:r>
      <w:r>
        <w:rPr>
          <w:rFonts w:ascii="Times New Roman" w:hAnsi="Times New Roman"/>
          <w:color w:val="000000"/>
          <w:sz w:val="20"/>
        </w:rPr>
        <w:t xml:space="preserve"> </w:t>
      </w:r>
      <w:r>
        <w:rPr>
          <w:rFonts w:ascii="Arial" w:hAnsi="Arial"/>
          <w:color w:val="000000"/>
          <w:sz w:val="24"/>
        </w:rPr>
        <w:t>Employee agrees that during his/her employment with the Company, Employee will not directly or indirectly divert or attempt to divert clients’ or potential clients’ business from the Company, nor will Employee directly or indirectly, solicit, induce or attempt to solicit or induce any employee of the Company to accept employment outside of the Company.</w:t>
      </w:r>
    </w:p>
    <w:p>
      <w:pPr>
        <w:pStyle w:val="TextBody"/>
        <w:bidi w:val="0"/>
        <w:spacing w:before="0" w:after="120"/>
        <w:jc w:val="left"/>
        <w:rPr>
          <w:rFonts w:ascii="Times New Roman" w:hAnsi="Times New Roman"/>
          <w:sz w:val="20"/>
        </w:rPr>
      </w:pPr>
      <w:r>
        <w:rPr>
          <w:rFonts w:ascii="Arial" w:hAnsi="Arial"/>
          <w:color w:val="000000"/>
          <w:sz w:val="24"/>
        </w:rPr>
        <w:t xml:space="preserve">6.2 </w:t>
      </w:r>
      <w:r>
        <w:rPr>
          <w:rFonts w:ascii="Arial" w:hAnsi="Arial"/>
          <w:color w:val="000000"/>
          <w:sz w:val="24"/>
          <w:u w:val="single"/>
        </w:rPr>
        <w:t>Non-Competition.</w:t>
      </w:r>
      <w:r>
        <w:rPr>
          <w:rFonts w:ascii="Times New Roman" w:hAnsi="Times New Roman"/>
          <w:color w:val="000000"/>
          <w:sz w:val="20"/>
        </w:rPr>
        <w:t xml:space="preserve"> </w:t>
      </w:r>
      <w:r>
        <w:rPr>
          <w:rFonts w:ascii="Arial" w:hAnsi="Arial"/>
          <w:color w:val="000000"/>
          <w:sz w:val="24"/>
        </w:rPr>
        <w:t>Employee acknowledges and agrees that during the term of this Agreement (which for purposes of this paragraph shall be deemed to include any period for which Employee continues to be paid following termination or resignation), he/she will not, anywhere in the world, directly or indirectly, acting individually or as the owner, shareholder, partner, consultant, independent contractor or employee of any entity, compete with the Company in any way, or act as an officer, director, employee, consultant, lender, or agent of any person or entity that is engaged in any business of the same nature as, or in competition with, the business in which the Company is now engaged or in which the Company becomes engaged during the term of Employee’s employment.</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spacing w:before="0" w:after="240"/>
        <w:jc w:val="both"/>
        <w:rPr>
          <w:rFonts w:ascii="Arial" w:hAnsi="Arial"/>
          <w:color w:val="000000"/>
          <w:sz w:val="24"/>
        </w:rPr>
      </w:pPr>
      <w:r>
        <w:rPr>
          <w:rFonts w:ascii="Arial" w:hAnsi="Arial"/>
          <w:color w:val="000000"/>
          <w:sz w:val="24"/>
        </w:rPr>
        <w:t>7.</w:t>
      </w:r>
    </w:p>
    <w:p>
      <w:pPr>
        <w:pStyle w:val="TextBody"/>
        <w:bidi w:val="0"/>
        <w:spacing w:before="0" w:after="240"/>
        <w:jc w:val="both"/>
        <w:rPr/>
      </w:pPr>
      <w:r>
        <w:rPr>
          <w:rFonts w:ascii="Arial" w:hAnsi="Arial"/>
          <w:color w:val="000000"/>
          <w:sz w:val="24"/>
          <w:u w:val="single"/>
        </w:rPr>
        <w:t>Business Opportunities</w:t>
      </w:r>
      <w:r>
        <w:rPr>
          <w:rFonts w:ascii="Arial" w:hAnsi="Arial"/>
          <w:color w:val="000000"/>
          <w:sz w:val="24"/>
        </w:rPr>
        <w:t>. Employee will promptly disclose to the Company any business opportunity of which Employee becomes aware during his/her employment with the Company and (i) which relates to any products or services planned, under development, developed, produced or marketed by the Company or (ii) of which Employee becomes aware in the course of or as a result of his/her employment with the Company. Employee will not take advantage of or divert any such opportunity for his/her own gain, profit or benefit, or any other person or entity without the written consent of the Company.</w:t>
      </w:r>
    </w:p>
    <w:p>
      <w:pPr>
        <w:pStyle w:val="TextBody"/>
        <w:bidi w:val="0"/>
        <w:spacing w:before="0" w:after="0"/>
        <w:jc w:val="both"/>
        <w:rPr>
          <w:rFonts w:ascii="Arial" w:hAnsi="Arial"/>
          <w:color w:val="000000"/>
          <w:sz w:val="24"/>
        </w:rPr>
      </w:pPr>
      <w:r>
        <w:rPr>
          <w:rFonts w:ascii="Arial" w:hAnsi="Arial"/>
          <w:color w:val="000000"/>
          <w:sz w:val="24"/>
        </w:rPr>
        <w:t>8.</w:t>
      </w:r>
    </w:p>
    <w:p>
      <w:pPr>
        <w:pStyle w:val="TextBody"/>
        <w:bidi w:val="0"/>
        <w:jc w:val="both"/>
        <w:rPr>
          <w:rFonts w:ascii="Arial" w:hAnsi="Arial"/>
          <w:color w:val="000000"/>
          <w:sz w:val="24"/>
          <w:u w:val="single"/>
        </w:rPr>
      </w:pPr>
      <w:r>
        <w:rPr>
          <w:rFonts w:ascii="Arial" w:hAnsi="Arial"/>
          <w:color w:val="000000"/>
          <w:sz w:val="24"/>
          <w:u w:val="single"/>
        </w:rPr>
        <w:t xml:space="preserve">Post-Employment Restrictions.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8.1 </w:t>
      </w:r>
      <w:r>
        <w:rPr>
          <w:rFonts w:ascii="Arial" w:hAnsi="Arial"/>
          <w:color w:val="000000"/>
          <w:sz w:val="24"/>
          <w:u w:val="single"/>
        </w:rPr>
        <w:t>Non-Solicitation of Employees</w:t>
      </w:r>
      <w:r>
        <w:rPr>
          <w:rFonts w:ascii="Arial" w:hAnsi="Arial"/>
          <w:color w:val="000000"/>
          <w:sz w:val="24"/>
        </w:rPr>
        <w:t>. For a period of one year following the end, for whatever reason, of Employee’s employment with the Company, Employee shall not, directly or indirectly, induce or attempt to induce, any employee of the Company to end or diminish his/her relationship with the Company, or solicit or attempt to solicit any Company employee for outside employment. Employee shall also not provide any information about the Company’s employees to any other person for the purpose of assisting any third party to solicit the Company’s employees for outside employment.</w:t>
      </w:r>
    </w:p>
    <w:p>
      <w:pPr>
        <w:pStyle w:val="TextBody"/>
        <w:bidi w:val="0"/>
        <w:jc w:val="both"/>
        <w:rPr/>
      </w:pPr>
      <w:r>
        <w:rPr/>
        <w:t> </w:t>
      </w:r>
    </w:p>
    <w:p>
      <w:pPr>
        <w:pStyle w:val="TextBody"/>
        <w:bidi w:val="0"/>
        <w:spacing w:before="0" w:after="120"/>
        <w:jc w:val="left"/>
        <w:rPr>
          <w:rFonts w:ascii="Times New Roman" w:hAnsi="Times New Roman"/>
          <w:sz w:val="20"/>
        </w:rPr>
      </w:pPr>
      <w:r>
        <w:rPr>
          <w:rFonts w:ascii="Arial" w:hAnsi="Arial"/>
          <w:color w:val="000000"/>
          <w:sz w:val="24"/>
        </w:rPr>
        <w:t xml:space="preserve">8.2 </w:t>
      </w:r>
      <w:r>
        <w:rPr>
          <w:rFonts w:ascii="Arial" w:hAnsi="Arial"/>
          <w:color w:val="000000"/>
          <w:sz w:val="24"/>
          <w:u w:val="single"/>
        </w:rPr>
        <w:t>Scope of Restrictions</w:t>
      </w:r>
      <w:r>
        <w:rPr>
          <w:rFonts w:ascii="Arial" w:hAnsi="Arial"/>
          <w:color w:val="000000"/>
          <w:sz w:val="24"/>
        </w:rPr>
        <w:t>. Employee acknowledges and represents that the scope of the restrictions contained in this Agreement are appropriate, necessary and reasonable, and are solely for the protection of the Company’s business, goodwill and property rights.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9.</w:t>
      </w:r>
    </w:p>
    <w:p>
      <w:pPr>
        <w:pStyle w:val="TextBody"/>
        <w:bidi w:val="0"/>
        <w:spacing w:before="0" w:after="240"/>
        <w:jc w:val="both"/>
        <w:rPr/>
      </w:pPr>
      <w:r>
        <w:rPr>
          <w:rFonts w:ascii="Arial" w:hAnsi="Arial"/>
          <w:color w:val="000000"/>
          <w:sz w:val="24"/>
          <w:u w:val="single"/>
        </w:rPr>
        <w:t>Return of Materials at Termination</w:t>
      </w:r>
      <w:r>
        <w:rPr>
          <w:rFonts w:ascii="Arial" w:hAnsi="Arial"/>
          <w:color w:val="000000"/>
          <w:sz w:val="24"/>
        </w:rPr>
        <w:t>. Immediately upon the separation of Employee’s employment for any reason, Employee will deliver to Company all documents, data, and other information pertaining to the Company’s business, clients, suppliers, products or services, and any other Confidential Information or Trade Secrets that Employee has in his/her possession or under his/her control; and Employee shall not remove (either physically or electronically) any such documents or information from Company premises or computers.</w:t>
      </w:r>
    </w:p>
    <w:p>
      <w:pPr>
        <w:pStyle w:val="TextBody"/>
        <w:bidi w:val="0"/>
        <w:spacing w:before="0" w:after="0"/>
        <w:jc w:val="both"/>
        <w:rPr>
          <w:rFonts w:ascii="Arial" w:hAnsi="Arial"/>
          <w:color w:val="000000"/>
          <w:sz w:val="24"/>
        </w:rPr>
      </w:pPr>
      <w:r>
        <w:rPr>
          <w:rFonts w:ascii="Arial" w:hAnsi="Arial"/>
          <w:color w:val="000000"/>
          <w:sz w:val="24"/>
        </w:rPr>
        <w:t>10.</w:t>
      </w:r>
    </w:p>
    <w:p>
      <w:pPr>
        <w:pStyle w:val="TextBody"/>
        <w:bidi w:val="0"/>
        <w:jc w:val="both"/>
        <w:rPr/>
      </w:pPr>
      <w:r>
        <w:rPr>
          <w:rFonts w:ascii="Arial" w:hAnsi="Arial"/>
          <w:color w:val="000000"/>
          <w:sz w:val="24"/>
          <w:u w:val="single"/>
        </w:rPr>
        <w:t>Cooperation.</w:t>
      </w:r>
      <w:r>
        <w:rPr>
          <w:color w:val="000000"/>
        </w:rPr>
        <w:t xml:space="preserve"> </w:t>
      </w:r>
      <w:r>
        <w:rPr>
          <w:rFonts w:ascii="Arial" w:hAnsi="Arial"/>
          <w:color w:val="000000"/>
          <w:sz w:val="24"/>
        </w:rPr>
        <w:t xml:space="preserve">During Employee’s employment, Employee will gain knowledge of specific projects and issues related to Company’s business. Employee agrees to cooperate with the Company, after termination, in any threatened or pending litigation against the Company related to issues with which Employee became familiar. The Company agrees to provide Employee with reasonable compensation for Employee’s time in providing cooperation and assistance. Nothing in this provision should be interpreted to require anything other than Employee’s honest and complete information regarding such matters. </w:t>
      </w:r>
    </w:p>
    <w:p>
      <w:pPr>
        <w:pStyle w:val="TextBody"/>
        <w:bidi w:val="0"/>
        <w:jc w:val="both"/>
        <w:rPr/>
      </w:pPr>
      <w:r>
        <w:rPr/>
        <w:t> </w:t>
      </w:r>
    </w:p>
    <w:p>
      <w:pPr>
        <w:pStyle w:val="TextBody"/>
        <w:bidi w:val="0"/>
        <w:spacing w:before="0" w:after="240"/>
        <w:jc w:val="both"/>
        <w:rPr>
          <w:rFonts w:ascii="Arial" w:hAnsi="Arial"/>
          <w:color w:val="000000"/>
          <w:sz w:val="24"/>
        </w:rPr>
      </w:pPr>
      <w:r>
        <w:rPr>
          <w:rFonts w:ascii="Arial" w:hAnsi="Arial"/>
          <w:color w:val="000000"/>
          <w:sz w:val="24"/>
        </w:rPr>
        <w:t>11.</w:t>
      </w:r>
    </w:p>
    <w:p>
      <w:pPr>
        <w:pStyle w:val="TextBody"/>
        <w:bidi w:val="0"/>
        <w:spacing w:before="0" w:after="240"/>
        <w:jc w:val="both"/>
        <w:rPr/>
      </w:pPr>
      <w:r>
        <w:rPr>
          <w:rFonts w:ascii="Arial" w:hAnsi="Arial"/>
          <w:color w:val="000000"/>
          <w:sz w:val="24"/>
          <w:u w:val="single"/>
        </w:rPr>
        <w:t>Remedies for Breach</w:t>
      </w:r>
      <w:r>
        <w:rPr>
          <w:rFonts w:ascii="Arial" w:hAnsi="Arial"/>
          <w:color w:val="000000"/>
          <w:sz w:val="24"/>
        </w:rPr>
        <w:t xml:space="preserve">. </w:t>
      </w:r>
    </w:p>
    <w:p>
      <w:pPr>
        <w:pStyle w:val="TextBody"/>
        <w:bidi w:val="0"/>
        <w:jc w:val="left"/>
        <w:rPr>
          <w:rFonts w:ascii="Times New Roman" w:hAnsi="Times New Roman"/>
          <w:sz w:val="20"/>
        </w:rPr>
      </w:pPr>
      <w:r>
        <w:rPr>
          <w:rFonts w:ascii="Times New Roman" w:hAnsi="Times New Roman"/>
          <w:color w:val="000000"/>
          <w:sz w:val="24"/>
          <w:u w:val="single"/>
        </w:rPr>
        <w:t>Injunctive Relief.</w:t>
      </w:r>
      <w:r>
        <w:rPr>
          <w:rFonts w:ascii="Times New Roman" w:hAnsi="Times New Roman"/>
          <w:color w:val="000000"/>
          <w:sz w:val="20"/>
        </w:rPr>
        <w:t xml:space="preserve"> </w:t>
      </w:r>
      <w:r>
        <w:rPr>
          <w:rFonts w:ascii="Times New Roman" w:hAnsi="Times New Roman"/>
          <w:color w:val="000000"/>
          <w:sz w:val="24"/>
        </w:rPr>
        <w:t>Employee acknowledges that any breach of this Agreement will cause irreparable injury to the Company. Accordingly, in the event of such breach or an impending breach, the Company shall be entitled to obtain injunctive and other equitable relief from a court in addition to, and not in lieu of, the right to seek liquidated or actual damages and any other right or remedy afforded to the Company by law or otherwise.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 xml:space="preserve">11.2. </w:t>
      </w:r>
      <w:r>
        <w:rPr>
          <w:rFonts w:ascii="Arial" w:hAnsi="Arial"/>
          <w:color w:val="000000"/>
          <w:sz w:val="24"/>
          <w:u w:val="single"/>
        </w:rPr>
        <w:t>Liquidated Damages.</w:t>
      </w:r>
      <w:r>
        <w:rPr>
          <w:rFonts w:ascii="Times New Roman" w:hAnsi="Times New Roman"/>
          <w:color w:val="000000"/>
          <w:sz w:val="20"/>
        </w:rPr>
        <w:t xml:space="preserve"> </w:t>
      </w:r>
      <w:r>
        <w:rPr>
          <w:rFonts w:ascii="Arial" w:hAnsi="Arial"/>
          <w:color w:val="000000"/>
          <w:sz w:val="24"/>
        </w:rPr>
        <w:t>Due to the difficulty of quantifying and proving actual damages, in the event of Employee’s breach of his/her obligations not to use or disclose Confidential Information or Trade Secrets as provided in paragraph 3, or Employee’s breach of the Post-Employment Restrictions in paragraph 8, the Company shall be entitled to liquidated damages in the amount of Five Thousand Dollars ($5,000.00) for each such use, disclosure, or prohibited action. Notwithstanding the right to liquidated damages, the Company has the right to take any measures available and to claim and receive a higher amount of compensation if the Company can prove that the actual damage sustained will exceed the amount of liquidated damages.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 xml:space="preserve">11.3 </w:t>
      </w:r>
      <w:r>
        <w:rPr>
          <w:rFonts w:ascii="Arial" w:hAnsi="Arial"/>
          <w:color w:val="000000"/>
          <w:sz w:val="24"/>
          <w:u w:val="single"/>
        </w:rPr>
        <w:t>Attorneys’ Fees.</w:t>
      </w:r>
      <w:r>
        <w:rPr>
          <w:rFonts w:ascii="Times New Roman" w:hAnsi="Times New Roman"/>
          <w:color w:val="000000"/>
          <w:sz w:val="20"/>
        </w:rPr>
        <w:t xml:space="preserve"> </w:t>
      </w:r>
      <w:r>
        <w:rPr>
          <w:rFonts w:ascii="Arial" w:hAnsi="Arial"/>
          <w:color w:val="000000"/>
          <w:sz w:val="24"/>
        </w:rPr>
        <w:t>In the event of any litigation concerning any controversy, claim or dispute between Employee and the Company arising out of or relating to this Agreement, the prevailing party shall be entitled to recover from the losing party reasonable expenses, attorneys’ fees, and costs incurred therein or in the enforcement or collection of any judgment or award rendered therein. The “prevailing party” means the party determined by the court to have prevailed, even if such party did not prevail in all matters, not necessarily the one in whose favor a judgment is rendered. Further, in the event of any default by a party under this Agreement, such defaulting party shall pay all the expenses and attorneys’ fees incurred by the other party in connection with such default, whether or not any litigation is commenced. This provision is intended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to benefit the parties to this Agreement, and is not intended to create rights for any third parties.</w:t>
      </w:r>
    </w:p>
    <w:p>
      <w:pPr>
        <w:pStyle w:val="TextBody"/>
        <w:bidi w:val="0"/>
        <w:spacing w:before="0" w:after="0"/>
        <w:jc w:val="both"/>
        <w:rPr>
          <w:rFonts w:ascii="Arial" w:hAnsi="Arial"/>
          <w:color w:val="000000"/>
          <w:sz w:val="24"/>
        </w:rPr>
      </w:pPr>
      <w:r>
        <w:rPr>
          <w:rFonts w:ascii="Arial" w:hAnsi="Arial"/>
          <w:color w:val="000000"/>
          <w:sz w:val="24"/>
        </w:rPr>
        <w:t>12.</w:t>
      </w:r>
    </w:p>
    <w:p>
      <w:pPr>
        <w:pStyle w:val="TextBody"/>
        <w:bidi w:val="0"/>
        <w:jc w:val="both"/>
        <w:rPr/>
      </w:pPr>
      <w:r>
        <w:rPr>
          <w:rFonts w:ascii="Arial" w:hAnsi="Arial"/>
          <w:color w:val="000000"/>
          <w:sz w:val="24"/>
          <w:u w:val="single"/>
        </w:rPr>
        <w:t>Severability</w:t>
      </w:r>
      <w:r>
        <w:rPr>
          <w:rFonts w:ascii="Arial" w:hAnsi="Arial"/>
          <w:color w:val="000000"/>
          <w:sz w:val="24"/>
        </w:rPr>
        <w:t xml:space="preserve">. Employee expressly acknowledges that he/she has carefully read all of the terms of this Agreement and agrees that the Company has been induced to enter into its relationship with Employee upon Employee’s representations that he/she will abide and be bound by each of the terms and that each term is reasonable in its scope and duration. If for any reason any portion of this Agreement shall be held by a court of competent jurisdiction to be invalid or unenforceable, Employee agrees that the remaining portions of this Agreement shall remain in full force and effect and that, upon the request of the Company, the court shall construe any invalid or unenforceable portions in the manner that most closely reflects the effect and intent of the original language. </w:t>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13.</w:t>
      </w:r>
    </w:p>
    <w:p>
      <w:pPr>
        <w:pStyle w:val="TextBody"/>
        <w:bidi w:val="0"/>
        <w:spacing w:before="0" w:after="240"/>
        <w:jc w:val="both"/>
        <w:rPr/>
      </w:pPr>
      <w:r>
        <w:rPr>
          <w:rFonts w:ascii="Arial" w:hAnsi="Arial"/>
          <w:color w:val="000000"/>
          <w:sz w:val="24"/>
          <w:u w:val="single"/>
        </w:rPr>
        <w:t>Entire Agreement</w:t>
      </w:r>
      <w:r>
        <w:rPr>
          <w:rFonts w:ascii="Arial" w:hAnsi="Arial"/>
          <w:color w:val="000000"/>
          <w:sz w:val="24"/>
        </w:rPr>
        <w:t xml:space="preserve">. This Agreement sets forth the entire agreement of the parties regarding the subject matter described herein and may be amended only by a written document signed by Employee and an authorized representative of the Company. </w:t>
      </w:r>
    </w:p>
    <w:p>
      <w:pPr>
        <w:pStyle w:val="TextBody"/>
        <w:bidi w:val="0"/>
        <w:spacing w:before="0" w:after="240"/>
        <w:jc w:val="both"/>
        <w:rPr>
          <w:rFonts w:ascii="Arial" w:hAnsi="Arial"/>
          <w:color w:val="000000"/>
          <w:sz w:val="24"/>
        </w:rPr>
      </w:pPr>
      <w:r>
        <w:rPr>
          <w:rFonts w:ascii="Arial" w:hAnsi="Arial"/>
          <w:color w:val="000000"/>
          <w:sz w:val="24"/>
        </w:rPr>
        <w:t>14.</w:t>
      </w:r>
    </w:p>
    <w:p>
      <w:pPr>
        <w:pStyle w:val="TextBody"/>
        <w:bidi w:val="0"/>
        <w:spacing w:before="0" w:after="240"/>
        <w:jc w:val="both"/>
        <w:rPr/>
      </w:pPr>
      <w:r>
        <w:rPr>
          <w:rFonts w:ascii="Arial" w:hAnsi="Arial"/>
          <w:color w:val="000000"/>
          <w:sz w:val="24"/>
          <w:u w:val="single"/>
        </w:rPr>
        <w:t>Successors and Assigns</w:t>
      </w:r>
      <w:r>
        <w:rPr>
          <w:rFonts w:ascii="Arial" w:hAnsi="Arial"/>
          <w:color w:val="000000"/>
          <w:sz w:val="24"/>
        </w:rPr>
        <w:t>. This Agreement shall inure to the benefit of the Company and its successors and assigns and is binding upon Employee’s heirs and legal representatives. Employee may not assign any of Employee’s rights or obligations under this Agreement.</w:t>
      </w:r>
    </w:p>
    <w:p>
      <w:pPr>
        <w:pStyle w:val="TextBody"/>
        <w:bidi w:val="0"/>
        <w:spacing w:before="0" w:after="240"/>
        <w:jc w:val="both"/>
        <w:rPr>
          <w:rFonts w:ascii="Arial" w:hAnsi="Arial"/>
          <w:color w:val="000000"/>
          <w:sz w:val="24"/>
        </w:rPr>
      </w:pPr>
      <w:r>
        <w:rPr>
          <w:rFonts w:ascii="Arial" w:hAnsi="Arial"/>
          <w:color w:val="000000"/>
          <w:sz w:val="24"/>
        </w:rPr>
        <w:t>15.</w:t>
      </w:r>
    </w:p>
    <w:p>
      <w:pPr>
        <w:pStyle w:val="TextBody"/>
        <w:bidi w:val="0"/>
        <w:spacing w:before="0" w:after="240"/>
        <w:jc w:val="both"/>
        <w:rPr/>
      </w:pPr>
      <w:r>
        <w:rPr>
          <w:rFonts w:ascii="Arial" w:hAnsi="Arial"/>
          <w:color w:val="000000"/>
          <w:sz w:val="24"/>
          <w:u w:val="single"/>
        </w:rPr>
        <w:t>Choice of Law.</w:t>
      </w:r>
      <w:r>
        <w:rPr>
          <w:color w:val="000000"/>
        </w:rPr>
        <w:t xml:space="preserve"> </w:t>
      </w:r>
      <w:r>
        <w:rPr>
          <w:rFonts w:ascii="Arial" w:hAnsi="Arial"/>
          <w:color w:val="000000"/>
          <w:sz w:val="24"/>
        </w:rPr>
        <w:t>This Agreement shall be interpreted, construed, and enforced in accordance with the laws of the State of California without reference to its choice of law principles. Employee hereby irrevocably consents to the jurisdiction of the courts of the State of California with venue in San Diego County and of the United States District Court for the Southern District of California.</w:t>
      </w:r>
    </w:p>
    <w:p>
      <w:pPr>
        <w:pStyle w:val="TextBody"/>
        <w:bidi w:val="0"/>
        <w:spacing w:before="0" w:after="240"/>
        <w:jc w:val="both"/>
        <w:rPr>
          <w:rFonts w:ascii="Arial" w:hAnsi="Arial"/>
          <w:color w:val="000000"/>
          <w:sz w:val="24"/>
        </w:rPr>
      </w:pPr>
      <w:r>
        <w:rPr>
          <w:rFonts w:ascii="Arial" w:hAnsi="Arial"/>
          <w:color w:val="000000"/>
          <w:sz w:val="24"/>
        </w:rPr>
        <w:t>16.</w:t>
      </w:r>
    </w:p>
    <w:p>
      <w:pPr>
        <w:pStyle w:val="TextBody"/>
        <w:bidi w:val="0"/>
        <w:spacing w:before="0" w:after="240"/>
        <w:jc w:val="both"/>
        <w:rPr/>
      </w:pPr>
      <w:r>
        <w:rPr>
          <w:rFonts w:ascii="Arial" w:hAnsi="Arial"/>
          <w:color w:val="000000"/>
          <w:sz w:val="24"/>
          <w:u w:val="single"/>
        </w:rPr>
        <w:t>Waiver</w:t>
      </w:r>
      <w:r>
        <w:rPr>
          <w:rFonts w:ascii="Arial" w:hAnsi="Arial"/>
          <w:color w:val="000000"/>
          <w:sz w:val="24"/>
        </w:rPr>
        <w:t>. The Company’s failure to enforce any provision of the Agreement shall not in any way be construed as a waiver of any such provision nor shall it prevent the Company thereafter from enforcing each and every provision of this Agreement.</w:t>
      </w:r>
    </w:p>
    <w:p>
      <w:pPr>
        <w:pStyle w:val="TextBody"/>
        <w:bidi w:val="0"/>
        <w:spacing w:before="0" w:after="240"/>
        <w:jc w:val="both"/>
        <w:rPr>
          <w:rFonts w:ascii="Arial" w:hAnsi="Arial"/>
          <w:color w:val="000000"/>
          <w:sz w:val="24"/>
        </w:rPr>
      </w:pPr>
      <w:r>
        <w:rPr>
          <w:rFonts w:ascii="Arial" w:hAnsi="Arial"/>
          <w:color w:val="000000"/>
          <w:sz w:val="24"/>
        </w:rPr>
        <w:t>17.</w:t>
      </w:r>
    </w:p>
    <w:p>
      <w:pPr>
        <w:pStyle w:val="TextBody"/>
        <w:bidi w:val="0"/>
        <w:spacing w:before="0" w:after="240"/>
        <w:jc w:val="both"/>
        <w:rPr/>
      </w:pPr>
      <w:r>
        <w:rPr>
          <w:rFonts w:ascii="Arial" w:hAnsi="Arial"/>
          <w:color w:val="000000"/>
          <w:sz w:val="24"/>
          <w:u w:val="single"/>
        </w:rPr>
        <w:t>Acknowledgments</w:t>
      </w:r>
      <w:r>
        <w:rPr>
          <w:rFonts w:ascii="Arial" w:hAnsi="Arial"/>
          <w:color w:val="000000"/>
          <w:sz w:val="24"/>
        </w:rPr>
        <w:t>. Employee acknowledges that this Agreement is not an employment contract and that both the Company and employee are free to terminate their employment relationship at-will, with or without notice or cause.</w:t>
      </w:r>
    </w:p>
    <w:p>
      <w:pPr>
        <w:pStyle w:val="TextBody"/>
        <w:bidi w:val="0"/>
        <w:spacing w:before="0" w:after="240"/>
        <w:jc w:val="both"/>
        <w:rPr>
          <w:rFonts w:ascii="Arial" w:hAnsi="Arial"/>
          <w:color w:val="000000"/>
          <w:sz w:val="24"/>
        </w:rPr>
      </w:pPr>
      <w:r>
        <w:rPr>
          <w:rFonts w:ascii="Arial" w:hAnsi="Arial"/>
          <w:color w:val="000000"/>
          <w:sz w:val="24"/>
        </w:rPr>
        <w:t>18.</w:t>
      </w:r>
    </w:p>
    <w:p>
      <w:pPr>
        <w:pStyle w:val="TextBody"/>
        <w:bidi w:val="0"/>
        <w:spacing w:before="0" w:after="240"/>
        <w:jc w:val="both"/>
        <w:rPr/>
      </w:pPr>
      <w:r>
        <w:rPr>
          <w:rFonts w:ascii="Arial" w:hAnsi="Arial"/>
          <w:color w:val="000000"/>
          <w:sz w:val="24"/>
          <w:u w:val="single"/>
        </w:rPr>
        <w:t>Counterparts.</w:t>
      </w:r>
      <w:r>
        <w:rPr>
          <w:color w:val="000000"/>
        </w:rPr>
        <w:t xml:space="preserve"> </w:t>
      </w:r>
      <w:r>
        <w:rPr>
          <w:rFonts w:ascii="Arial" w:hAnsi="Arial"/>
          <w:color w:val="000000"/>
          <w:sz w:val="24"/>
        </w:rPr>
        <w:t xml:space="preserve">This Agreement may be executed in counterparts and shall be binding on all parties when each has signed either an original or copy of this Agreement.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THE PARTIES, HAVING READ THIS AGREEMENT AND UNDERSTANDING ITS TERMS, HEREBY AGREE TO BE LEGALLY BOUND BY ITS PROVISIONS.</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EQUITY TERMS</w:t>
      </w:r>
    </w:p>
    <w:tbl>
      <w:tblPr>
        <w:tblW w:w="10205" w:type="dxa"/>
        <w:jc w:val="left"/>
        <w:tblInd w:w="0" w:type="dxa"/>
        <w:tblLayout w:type="fixed"/>
        <w:tblCellMar>
          <w:top w:w="28" w:type="dxa"/>
          <w:left w:w="28" w:type="dxa"/>
          <w:bottom w:w="28" w:type="dxa"/>
          <w:right w:w="28" w:type="dxa"/>
        </w:tblCellMar>
      </w:tblPr>
      <w:tblGrid>
        <w:gridCol w:w="3961"/>
        <w:gridCol w:w="6244"/>
      </w:tblGrid>
      <w:tr>
        <w:trPr/>
        <w:tc>
          <w:tcPr>
            <w:tcW w:w="3961" w:type="dxa"/>
            <w:tcBorders/>
            <w:vAlign w:val="center"/>
          </w:tcPr>
          <w:p>
            <w:pPr>
              <w:pStyle w:val="TableContents"/>
              <w:bidi w:val="0"/>
              <w:spacing w:before="0" w:after="283"/>
              <w:jc w:val="left"/>
              <w:rPr>
                <w:sz w:val="4"/>
                <w:szCs w:val="4"/>
              </w:rPr>
            </w:pPr>
            <w:r>
              <w:rPr>
                <w:sz w:val="4"/>
                <w:szCs w:val="4"/>
              </w:rPr>
            </w:r>
          </w:p>
        </w:tc>
        <w:tc>
          <w:tcPr>
            <w:tcW w:w="6244" w:type="dxa"/>
            <w:tcBorders/>
            <w:vAlign w:val="center"/>
          </w:tcPr>
          <w:p>
            <w:pPr>
              <w:pStyle w:val="TableContents"/>
              <w:bidi w:val="0"/>
              <w:spacing w:before="0" w:after="283"/>
              <w:jc w:val="left"/>
              <w:rPr>
                <w:sz w:val="4"/>
                <w:szCs w:val="4"/>
              </w:rPr>
            </w:pPr>
            <w:r>
              <w:rPr>
                <w:sz w:val="4"/>
                <w:szCs w:val="4"/>
              </w:rPr>
            </w:r>
          </w:p>
        </w:tc>
      </w:tr>
      <w:tr>
        <w:trPr/>
        <w:tc>
          <w:tcPr>
            <w:tcW w:w="39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Type of Award</w:t>
              <w:br/>
              <w:t>(“Award”)</w:t>
            </w:r>
          </w:p>
        </w:tc>
        <w:tc>
          <w:tcPr>
            <w:tcW w:w="624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An incentive stock option grant pursuant to Section 422(b) of the Internal Revenue Code</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Executive’s Award to equal 400,000 shares granted on April 27, 2026. </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Award is evidenced by agreement executed by Executive and the Company.</w:t>
            </w:r>
          </w:p>
        </w:tc>
      </w:tr>
      <w:tr>
        <w:trPr/>
        <w:tc>
          <w:tcPr>
            <w:tcW w:w="3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Vesting of Award</w:t>
            </w:r>
          </w:p>
        </w:tc>
        <w:tc>
          <w:tcPr>
            <w:tcW w:w="6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25% vest one year after date of grant and the remainder vest in monthly equal amounts over 36 months beginning one year and one month after date of grant</w:t>
            </w:r>
          </w:p>
        </w:tc>
      </w:tr>
      <w:tr>
        <w:trPr/>
        <w:tc>
          <w:tcPr>
            <w:tcW w:w="3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Termination of Service for Cause, resignation with/without Cause, death &amp; disability, etc.</w:t>
            </w:r>
          </w:p>
        </w:tc>
        <w:tc>
          <w:tcPr>
            <w:tcW w:w="6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4"/>
              </w:rPr>
            </w:pPr>
            <w:r>
              <w:rPr>
                <w:rFonts w:ascii="Times New Roman" w:hAnsi="Times New Roman"/>
                <w:color w:val="000000"/>
                <w:sz w:val="24"/>
              </w:rPr>
              <w:t xml:space="preserve">ninety (90) days following the date of the Executive’s termination of employment with the Company and its Affiliates for any reason other than for Cause or due to the Executive’s death or Disability; </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4"/>
              </w:rPr>
            </w:pPr>
            <w:r>
              <w:rPr>
                <w:rFonts w:ascii="Times New Roman" w:hAnsi="Times New Roman"/>
                <w:color w:val="000000"/>
                <w:sz w:val="24"/>
              </w:rPr>
              <w:t>six (6) months following the date of the Executive’s termination of employment with the Company and its Affiliates due to the Executive’s death or Disability.</w:t>
            </w:r>
          </w:p>
          <w:p>
            <w:pPr>
              <w:pStyle w:val="TableContents"/>
              <w:bidi w:val="0"/>
              <w:spacing w:before="0" w:after="240"/>
              <w:jc w:val="left"/>
              <w:rPr>
                <w:color w:val="000000"/>
              </w:rPr>
            </w:pPr>
            <w:r>
              <w:rPr>
                <w:color w:val="000000"/>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entire Award (whether vested or unvested) held by the Executive immediately prior to the cessation of the Executive’s employment shall immediately terminate upon such cessation if such cessation of employment was for Cause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crdf-ex31_1.htm"/>
      <w:bookmarkStart w:id="48" w:name="kscrdfex31_1"/>
      <w:bookmarkEnd w:id="47"/>
      <w:bookmarkEnd w:id="4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Mani Mohindru,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Cardiff Oncology,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572" w:type="dxa"/>
        <w:jc w:val="left"/>
        <w:tblInd w:w="0" w:type="dxa"/>
        <w:tblLayout w:type="fixed"/>
        <w:tblCellMar>
          <w:top w:w="28" w:type="dxa"/>
          <w:left w:w="28" w:type="dxa"/>
          <w:bottom w:w="28" w:type="dxa"/>
          <w:right w:w="28" w:type="dxa"/>
        </w:tblCellMar>
      </w:tblPr>
      <w:tblGrid>
        <w:gridCol w:w="1471"/>
        <w:gridCol w:w="2101"/>
      </w:tblGrid>
      <w:tr>
        <w:trPr/>
        <w:tc>
          <w:tcPr>
            <w:tcW w:w="147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Mani Mohindru</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Mani Mohindru</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crdf-ex31_2.htm"/>
      <w:bookmarkStart w:id="50" w:name="kscrdfex31_2"/>
      <w:bookmarkEnd w:id="49"/>
      <w:bookmarkEnd w:id="50"/>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Josh Muntner,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Cardiff Oncology,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542" w:type="dxa"/>
        <w:jc w:val="left"/>
        <w:tblInd w:w="0" w:type="dxa"/>
        <w:tblLayout w:type="fixed"/>
        <w:tblCellMar>
          <w:top w:w="28" w:type="dxa"/>
          <w:left w:w="28" w:type="dxa"/>
          <w:bottom w:w="28" w:type="dxa"/>
          <w:right w:w="28" w:type="dxa"/>
        </w:tblCellMar>
      </w:tblPr>
      <w:tblGrid>
        <w:gridCol w:w="1471"/>
        <w:gridCol w:w="2071"/>
      </w:tblGrid>
      <w:tr>
        <w:trPr/>
        <w:tc>
          <w:tcPr>
            <w:tcW w:w="147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 Muntner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 Muntner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crdf-ex32_1.htm"/>
      <w:bookmarkStart w:id="52" w:name="kscrdfex32_1"/>
      <w:bookmarkEnd w:id="51"/>
      <w:bookmarkEnd w:id="52"/>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Cardiff Oncology, Inc. (the “Company”) on Form 10-Q for the three months ended June 30, 2026 as filed with the Securities and Exchange Commission on the date hereof (the “Report”), I, Mani Mohindru, Chief Executive Officer of the Company,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3572" w:type="dxa"/>
        <w:jc w:val="left"/>
        <w:tblInd w:w="0" w:type="dxa"/>
        <w:tblLayout w:type="fixed"/>
        <w:tblCellMar>
          <w:top w:w="28" w:type="dxa"/>
          <w:left w:w="28" w:type="dxa"/>
          <w:bottom w:w="28" w:type="dxa"/>
          <w:right w:w="28" w:type="dxa"/>
        </w:tblCellMar>
      </w:tblPr>
      <w:tblGrid>
        <w:gridCol w:w="1471"/>
        <w:gridCol w:w="2101"/>
      </w:tblGrid>
      <w:tr>
        <w:trPr/>
        <w:tc>
          <w:tcPr>
            <w:tcW w:w="147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Mani Mohindru</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Mani Mohindru</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crdf-ex32_2.htm"/>
      <w:bookmarkStart w:id="54" w:name="kscrdfex32_2"/>
      <w:bookmarkEnd w:id="53"/>
      <w:bookmarkEnd w:id="54"/>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Cardiff Oncology, Inc. (the “Company”) on Form 10-Q for the three months ended June 30, 2026 as filed with the Securities and Exchange Commission on the date hereof (the “Report”), I, Josh Muntner, Chief Financial Officer of the Company,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3542" w:type="dxa"/>
        <w:jc w:val="left"/>
        <w:tblInd w:w="0" w:type="dxa"/>
        <w:tblLayout w:type="fixed"/>
        <w:tblCellMar>
          <w:top w:w="28" w:type="dxa"/>
          <w:left w:w="28" w:type="dxa"/>
          <w:bottom w:w="28" w:type="dxa"/>
          <w:right w:w="28" w:type="dxa"/>
        </w:tblCellMar>
      </w:tblPr>
      <w:tblGrid>
        <w:gridCol w:w="1471"/>
        <w:gridCol w:w="2071"/>
      </w:tblGrid>
      <w:tr>
        <w:trPr/>
        <w:tc>
          <w:tcPr>
            <w:tcW w:w="147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 Muntner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 Muntner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3037/000119312526305467/crdf-ex4_1.htm" TargetMode="External"/><Relationship Id="rId3" Type="http://schemas.openxmlformats.org/officeDocument/2006/relationships/hyperlink" Target="https://www.sec.gov/Archives/edgar/data/1213037/000119312526305467/crdf-ex4_2.htm" TargetMode="External"/><Relationship Id="rId4" Type="http://schemas.openxmlformats.org/officeDocument/2006/relationships/hyperlink" Target="https://www.sec.gov/Archives/edgar/data/1213037/000119312526305467/crdf-ex10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47335</Words>
  <Characters>258329</Characters>
  <CharactersWithSpaces>306134</CharactersWithSpaces>
  <Paragraphs>5808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