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df_defa14a_special_202.htm"/>
      <w:bookmarkStart w:id="1" w:name="kscrdf_defa14a_special_202"/>
      <w:bookmarkEnd w:id="0"/>
      <w:bookmarkEnd w:id="1"/>
      <w:r>
        <w:rPr/>
        <w:t> </w:t>
      </w:r>
    </w:p>
    <w:p>
      <w:pPr>
        <w:pStyle w:val="TextBody"/>
        <w:bidi w:val="0"/>
        <w:jc w:val="center"/>
        <w:rPr>
          <w:rFonts w:ascii="Times New Roman" w:hAnsi="Times New Roman"/>
          <w:b/>
          <w:color w:val="000000"/>
          <w:sz w:val="28"/>
        </w:rPr>
      </w:pPr>
      <w:bookmarkStart w:id="2" w:name="section1"/>
      <w:bookmarkEnd w:id="2"/>
      <w:r>
        <w:rPr>
          <w:rFonts w:ascii="Times New Roman" w:hAnsi="Times New Roman"/>
          <w:b/>
          <w:color w:val="000000"/>
          <w:sz w:val="28"/>
        </w:rPr>
        <w:t>UNITED STATES 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SCHEDULE 14A</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Proxy Statement Pursuant to Section 14(a) of the Securities Exchange Act of 1934</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(Amendment No. )</w:t>
      </w:r>
    </w:p>
    <w:p>
      <w:pPr>
        <w:pStyle w:val="TextBody"/>
        <w:bidi w:val="0"/>
        <w:jc w:val="center"/>
        <w:rPr/>
      </w:pPr>
      <w:r>
        <w:rPr/>
        <w:t> </w:t>
      </w:r>
    </w:p>
    <w:tbl>
      <w:tblPr>
        <w:tblW w:w="9926" w:type="dxa"/>
        <w:jc w:val="left"/>
        <w:tblInd w:w="0" w:type="dxa"/>
        <w:tblLayout w:type="fixed"/>
        <w:tblCellMar>
          <w:top w:w="28" w:type="dxa"/>
          <w:left w:w="28" w:type="dxa"/>
          <w:bottom w:w="28" w:type="dxa"/>
          <w:right w:w="28" w:type="dxa"/>
        </w:tblCellMar>
      </w:tblPr>
      <w:tblGrid>
        <w:gridCol w:w="1512"/>
        <w:gridCol w:w="2536"/>
        <w:gridCol w:w="2536"/>
        <w:gridCol w:w="3342"/>
      </w:tblGrid>
      <w:tr>
        <w:trPr/>
        <w:tc>
          <w:tcPr>
            <w:tcW w:w="1512"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342" w:type="dxa"/>
            <w:tcBorders/>
            <w:vAlign w:val="center"/>
          </w:tcPr>
          <w:p>
            <w:pPr>
              <w:pStyle w:val="TableContents"/>
              <w:bidi w:val="0"/>
              <w:spacing w:before="0" w:after="283"/>
              <w:jc w:val="left"/>
              <w:rPr>
                <w:sz w:val="4"/>
                <w:szCs w:val="4"/>
              </w:rPr>
            </w:pPr>
            <w:r>
              <w:rPr>
                <w:sz w:val="4"/>
                <w:szCs w:val="4"/>
              </w:rPr>
            </w:r>
          </w:p>
        </w:tc>
      </w:tr>
      <w:tr>
        <w:trPr/>
        <w:tc>
          <w:tcPr>
            <w:tcW w:w="9926" w:type="dxa"/>
            <w:gridSpan w:val="4"/>
            <w:tcBorders/>
            <w:tcMar>
              <w:top w:w="0" w:type="dxa"/>
              <w:left w:w="0" w:type="dxa"/>
              <w:bottom w:w="0" w:type="dxa"/>
              <w:right w:w="0" w:type="dxa"/>
            </w:tcMar>
            <w:vAlign w:val="center"/>
          </w:tcPr>
          <w:p>
            <w:pPr>
              <w:pStyle w:val="TableContents"/>
              <w:bidi w:val="0"/>
              <w:spacing w:before="53" w:after="30"/>
              <w:jc w:val="left"/>
              <w:rPr>
                <w:rFonts w:ascii="Times New Roman" w:hAnsi="Times New Roman"/>
                <w:sz w:val="20"/>
              </w:rPr>
            </w:pPr>
            <w:r>
              <w:rPr>
                <w:rFonts w:ascii="Times New Roman" w:hAnsi="Times New Roman"/>
                <w:color w:val="000000"/>
                <w:sz w:val="20"/>
              </w:rPr>
              <w:t xml:space="preserve">Filed by the Registrant </w:t>
            </w:r>
            <w:r>
              <w:rPr>
                <w:rFonts w:ascii="Wingdings;serif" w:hAnsi="Wingdings;serif"/>
                <w:color w:val="000000"/>
                <w:sz w:val="20"/>
              </w:rPr>
              <w:t>x</w:t>
            </w:r>
          </w:p>
        </w:tc>
      </w:tr>
      <w:tr>
        <w:trPr/>
        <w:tc>
          <w:tcPr>
            <w:tcW w:w="992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26" w:type="dxa"/>
            <w:gridSpan w:val="4"/>
            <w:tcBorders/>
            <w:tcMar>
              <w:top w:w="0" w:type="dxa"/>
              <w:left w:w="0" w:type="dxa"/>
              <w:bottom w:w="0" w:type="dxa"/>
              <w:right w:w="0" w:type="dxa"/>
            </w:tcMar>
            <w:vAlign w:val="center"/>
          </w:tcPr>
          <w:p>
            <w:pPr>
              <w:pStyle w:val="TableContents"/>
              <w:bidi w:val="0"/>
              <w:spacing w:before="53" w:after="30"/>
              <w:jc w:val="left"/>
              <w:rPr>
                <w:rFonts w:ascii="Times New Roman" w:hAnsi="Times New Roman"/>
                <w:sz w:val="20"/>
              </w:rPr>
            </w:pPr>
            <w:r>
              <w:rPr>
                <w:rFonts w:ascii="Times New Roman" w:hAnsi="Times New Roman"/>
                <w:color w:val="000000"/>
                <w:sz w:val="20"/>
              </w:rPr>
              <w:t xml:space="preserve">Filed by a Party other than the Registrant </w:t>
            </w:r>
            <w:r>
              <w:rPr>
                <w:rFonts w:ascii="Wingdings;serif" w:hAnsi="Wingdings;serif"/>
                <w:color w:val="000000"/>
                <w:sz w:val="20"/>
              </w:rPr>
              <w:t>o</w:t>
            </w:r>
          </w:p>
        </w:tc>
      </w:tr>
      <w:tr>
        <w:trPr/>
        <w:tc>
          <w:tcPr>
            <w:tcW w:w="992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26" w:type="dxa"/>
            <w:gridSpan w:val="4"/>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Check the appropriate box:</w:t>
            </w:r>
          </w:p>
        </w:tc>
      </w:tr>
      <w:tr>
        <w:trPr/>
        <w:tc>
          <w:tcPr>
            <w:tcW w:w="1512" w:type="dxa"/>
            <w:tcBorders/>
            <w:tcMar>
              <w:top w:w="0" w:type="dxa"/>
              <w:left w:w="0" w:type="dxa"/>
              <w:bottom w:w="0" w:type="dxa"/>
              <w:right w:w="0" w:type="dxa"/>
            </w:tcMar>
            <w:vAlign w:val="center"/>
          </w:tcPr>
          <w:p>
            <w:pPr>
              <w:pStyle w:val="TableContents"/>
              <w:bidi w:val="0"/>
              <w:spacing w:before="53" w:after="30"/>
              <w:jc w:val="left"/>
              <w:rPr>
                <w:rFonts w:ascii="Wingdings;serif" w:hAnsi="Wingdings;serif"/>
                <w:color w:val="000000"/>
                <w:sz w:val="20"/>
              </w:rPr>
            </w:pPr>
            <w:r>
              <w:rPr>
                <w:rFonts w:ascii="Wingdings;serif" w:hAnsi="Wingdings;serif"/>
                <w:color w:val="000000"/>
                <w:sz w:val="20"/>
              </w:rPr>
              <w:t>o</w:t>
            </w:r>
          </w:p>
        </w:tc>
        <w:tc>
          <w:tcPr>
            <w:tcW w:w="8414" w:type="dxa"/>
            <w:gridSpan w:val="3"/>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Preliminary Proxy Statement</w:t>
            </w:r>
          </w:p>
        </w:tc>
      </w:tr>
      <w:tr>
        <w:trPr/>
        <w:tc>
          <w:tcPr>
            <w:tcW w:w="1512" w:type="dxa"/>
            <w:tcBorders/>
            <w:tcMar>
              <w:top w:w="0" w:type="dxa"/>
              <w:left w:w="0" w:type="dxa"/>
              <w:bottom w:w="0" w:type="dxa"/>
              <w:right w:w="0" w:type="dxa"/>
            </w:tcMar>
            <w:vAlign w:val="center"/>
          </w:tcPr>
          <w:p>
            <w:pPr>
              <w:pStyle w:val="TableContents"/>
              <w:bidi w:val="0"/>
              <w:spacing w:before="53" w:after="30"/>
              <w:jc w:val="left"/>
              <w:rPr>
                <w:rFonts w:ascii="Wingdings;serif" w:hAnsi="Wingdings;serif"/>
                <w:color w:val="000000"/>
                <w:sz w:val="20"/>
              </w:rPr>
            </w:pPr>
            <w:r>
              <w:rPr>
                <w:rFonts w:ascii="Wingdings;serif" w:hAnsi="Wingdings;serif"/>
                <w:color w:val="000000"/>
                <w:sz w:val="20"/>
              </w:rPr>
              <w:t>o</w:t>
            </w:r>
          </w:p>
        </w:tc>
        <w:tc>
          <w:tcPr>
            <w:tcW w:w="8414" w:type="dxa"/>
            <w:gridSpan w:val="3"/>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1512" w:type="dxa"/>
            <w:tcBorders/>
            <w:tcMar>
              <w:top w:w="0" w:type="dxa"/>
              <w:left w:w="0" w:type="dxa"/>
              <w:bottom w:w="0" w:type="dxa"/>
              <w:right w:w="0" w:type="dxa"/>
            </w:tcMar>
            <w:vAlign w:val="center"/>
          </w:tcPr>
          <w:p>
            <w:pPr>
              <w:pStyle w:val="TableContents"/>
              <w:bidi w:val="0"/>
              <w:spacing w:before="53" w:after="30"/>
              <w:jc w:val="left"/>
              <w:rPr>
                <w:rFonts w:ascii="Wingdings;serif" w:hAnsi="Wingdings;serif"/>
                <w:color w:val="000000"/>
                <w:sz w:val="20"/>
              </w:rPr>
            </w:pPr>
            <w:r>
              <w:rPr>
                <w:rFonts w:ascii="Wingdings;serif" w:hAnsi="Wingdings;serif"/>
                <w:color w:val="000000"/>
                <w:sz w:val="20"/>
              </w:rPr>
              <w:t>o</w:t>
            </w:r>
          </w:p>
        </w:tc>
        <w:tc>
          <w:tcPr>
            <w:tcW w:w="8414" w:type="dxa"/>
            <w:gridSpan w:val="3"/>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Definitive Proxy Statement</w:t>
            </w:r>
          </w:p>
        </w:tc>
      </w:tr>
      <w:tr>
        <w:trPr/>
        <w:tc>
          <w:tcPr>
            <w:tcW w:w="1512" w:type="dxa"/>
            <w:tcBorders/>
            <w:tcMar>
              <w:top w:w="0" w:type="dxa"/>
              <w:left w:w="0" w:type="dxa"/>
              <w:bottom w:w="0" w:type="dxa"/>
              <w:right w:w="0" w:type="dxa"/>
            </w:tcMar>
            <w:vAlign w:val="center"/>
          </w:tcPr>
          <w:p>
            <w:pPr>
              <w:pStyle w:val="TableContents"/>
              <w:bidi w:val="0"/>
              <w:spacing w:before="53" w:after="30"/>
              <w:jc w:val="left"/>
              <w:rPr>
                <w:rFonts w:ascii="Wingdings;serif" w:hAnsi="Wingdings;serif"/>
                <w:color w:val="000000"/>
                <w:sz w:val="20"/>
              </w:rPr>
            </w:pPr>
            <w:r>
              <w:rPr>
                <w:rFonts w:ascii="Wingdings;serif" w:hAnsi="Wingdings;serif"/>
                <w:color w:val="000000"/>
                <w:sz w:val="20"/>
              </w:rPr>
              <w:t>x</w:t>
            </w:r>
          </w:p>
        </w:tc>
        <w:tc>
          <w:tcPr>
            <w:tcW w:w="8414" w:type="dxa"/>
            <w:gridSpan w:val="3"/>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1512" w:type="dxa"/>
            <w:tcBorders/>
            <w:tcMar>
              <w:top w:w="0" w:type="dxa"/>
              <w:left w:w="0" w:type="dxa"/>
              <w:bottom w:w="0" w:type="dxa"/>
              <w:right w:w="0" w:type="dxa"/>
            </w:tcMar>
            <w:vAlign w:val="center"/>
          </w:tcPr>
          <w:p>
            <w:pPr>
              <w:pStyle w:val="TableContents"/>
              <w:bidi w:val="0"/>
              <w:spacing w:before="53" w:after="30"/>
              <w:jc w:val="left"/>
              <w:rPr>
                <w:rFonts w:ascii="Wingdings;serif" w:hAnsi="Wingdings;serif"/>
                <w:color w:val="000000"/>
                <w:sz w:val="20"/>
              </w:rPr>
            </w:pPr>
            <w:r>
              <w:rPr>
                <w:rFonts w:ascii="Wingdings;serif" w:hAnsi="Wingdings;serif"/>
                <w:color w:val="000000"/>
                <w:sz w:val="20"/>
              </w:rPr>
              <w:t>o</w:t>
            </w:r>
          </w:p>
        </w:tc>
        <w:tc>
          <w:tcPr>
            <w:tcW w:w="8414" w:type="dxa"/>
            <w:gridSpan w:val="3"/>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Soliciting Material under §240.14a-12</w:t>
            </w:r>
          </w:p>
        </w:tc>
      </w:tr>
      <w:tr>
        <w:trPr/>
        <w:tc>
          <w:tcPr>
            <w:tcW w:w="992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26" w:type="dxa"/>
            <w:gridSpan w:val="4"/>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28"/>
              </w:rPr>
            </w:pPr>
            <w:r>
              <w:rPr>
                <w:rFonts w:ascii="Times New Roman" w:hAnsi="Times New Roman"/>
                <w:b/>
                <w:color w:val="000000"/>
                <w:sz w:val="28"/>
              </w:rPr>
              <w:t>Cardiff Oncology, Inc.</w:t>
            </w:r>
          </w:p>
        </w:tc>
      </w:tr>
      <w:tr>
        <w:trPr/>
        <w:tc>
          <w:tcPr>
            <w:tcW w:w="151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26" w:type="dxa"/>
            <w:gridSpan w:val="4"/>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20"/>
              </w:rPr>
            </w:pPr>
            <w:r>
              <w:rPr>
                <w:rFonts w:ascii="Times New Roman" w:hAnsi="Times New Roman"/>
                <w:b/>
                <w:color w:val="000000"/>
                <w:sz w:val="20"/>
              </w:rPr>
              <w:t>(Name of Registrant as Specified In Its Charter)</w:t>
            </w:r>
          </w:p>
        </w:tc>
      </w:tr>
      <w:tr>
        <w:trPr/>
        <w:tc>
          <w:tcPr>
            <w:tcW w:w="992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2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26" w:type="dxa"/>
            <w:gridSpan w:val="4"/>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tc>
      </w:tr>
      <w:tr>
        <w:trPr/>
        <w:tc>
          <w:tcPr>
            <w:tcW w:w="992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26" w:type="dxa"/>
            <w:gridSpan w:val="4"/>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0"/>
              </w:rPr>
            </w:pPr>
            <w:r>
              <w:rPr>
                <w:rFonts w:ascii="Times New Roman" w:hAnsi="Times New Roman"/>
                <w:b/>
                <w:color w:val="000000"/>
                <w:sz w:val="20"/>
              </w:rPr>
              <w:t>Payment of Filing Fee (Check the appropriate box):</w:t>
            </w:r>
          </w:p>
        </w:tc>
      </w:tr>
      <w:tr>
        <w:trPr/>
        <w:tc>
          <w:tcPr>
            <w:tcW w:w="1512" w:type="dxa"/>
            <w:tcBorders/>
            <w:tcMar>
              <w:top w:w="0" w:type="dxa"/>
              <w:left w:w="0" w:type="dxa"/>
              <w:bottom w:w="0" w:type="dxa"/>
              <w:right w:w="0" w:type="dxa"/>
            </w:tcMar>
            <w:vAlign w:val="center"/>
          </w:tcPr>
          <w:p>
            <w:pPr>
              <w:pStyle w:val="TableContents"/>
              <w:bidi w:val="0"/>
              <w:spacing w:before="53" w:after="30"/>
              <w:jc w:val="left"/>
              <w:rPr>
                <w:rFonts w:ascii="Wingdings;serif" w:hAnsi="Wingdings;serif"/>
                <w:color w:val="000000"/>
                <w:sz w:val="20"/>
              </w:rPr>
            </w:pPr>
            <w:r>
              <w:rPr>
                <w:rFonts w:ascii="Wingdings;serif" w:hAnsi="Wingdings;serif"/>
                <w:color w:val="000000"/>
                <w:sz w:val="20"/>
              </w:rPr>
              <w:t>x</w:t>
            </w:r>
          </w:p>
        </w:tc>
        <w:tc>
          <w:tcPr>
            <w:tcW w:w="8414" w:type="dxa"/>
            <w:gridSpan w:val="3"/>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No fee required.</w:t>
            </w:r>
          </w:p>
        </w:tc>
      </w:tr>
      <w:tr>
        <w:trPr/>
        <w:tc>
          <w:tcPr>
            <w:tcW w:w="1512" w:type="dxa"/>
            <w:tcBorders/>
            <w:tcMar>
              <w:top w:w="0" w:type="dxa"/>
              <w:left w:w="0" w:type="dxa"/>
              <w:bottom w:w="0" w:type="dxa"/>
              <w:right w:w="0" w:type="dxa"/>
            </w:tcMar>
            <w:vAlign w:val="center"/>
          </w:tcPr>
          <w:p>
            <w:pPr>
              <w:pStyle w:val="TableContents"/>
              <w:bidi w:val="0"/>
              <w:spacing w:before="0" w:after="283"/>
              <w:jc w:val="left"/>
              <w:rPr/>
            </w:pPr>
            <w:r>
              <w:rPr/>
              <w:t> </w:t>
            </w:r>
          </w:p>
        </w:tc>
        <w:tc>
          <w:tcPr>
            <w:tcW w:w="50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3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2" w:type="dxa"/>
            <w:tcBorders/>
            <w:tcMar>
              <w:top w:w="0" w:type="dxa"/>
              <w:left w:w="0" w:type="dxa"/>
              <w:bottom w:w="0" w:type="dxa"/>
              <w:right w:w="0" w:type="dxa"/>
            </w:tcMar>
            <w:vAlign w:val="center"/>
          </w:tcPr>
          <w:p>
            <w:pPr>
              <w:pStyle w:val="TableContents"/>
              <w:bidi w:val="0"/>
              <w:spacing w:before="53" w:after="30"/>
              <w:jc w:val="left"/>
              <w:rPr>
                <w:rFonts w:ascii="Wingdings;serif" w:hAnsi="Wingdings;serif"/>
                <w:color w:val="000000"/>
                <w:sz w:val="20"/>
              </w:rPr>
            </w:pPr>
            <w:r>
              <w:rPr>
                <w:rFonts w:ascii="Wingdings;serif" w:hAnsi="Wingdings;serif"/>
                <w:color w:val="000000"/>
                <w:sz w:val="20"/>
              </w:rPr>
              <w:t>o</w:t>
            </w:r>
          </w:p>
        </w:tc>
        <w:tc>
          <w:tcPr>
            <w:tcW w:w="8414" w:type="dxa"/>
            <w:gridSpan w:val="3"/>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151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2" w:type="dxa"/>
            <w:tcBorders/>
            <w:tcMar>
              <w:top w:w="0" w:type="dxa"/>
              <w:left w:w="0" w:type="dxa"/>
              <w:bottom w:w="0" w:type="dxa"/>
              <w:right w:w="0" w:type="dxa"/>
            </w:tcMar>
            <w:vAlign w:val="center"/>
          </w:tcPr>
          <w:p>
            <w:pPr>
              <w:pStyle w:val="TableContents"/>
              <w:bidi w:val="0"/>
              <w:spacing w:before="53" w:after="30"/>
              <w:jc w:val="left"/>
              <w:rPr>
                <w:rFonts w:ascii="Wingdings;serif" w:hAnsi="Wingdings;serif"/>
                <w:color w:val="000000"/>
                <w:sz w:val="20"/>
              </w:rPr>
            </w:pPr>
            <w:r>
              <w:rPr>
                <w:rFonts w:ascii="Wingdings;serif" w:hAnsi="Wingdings;serif"/>
                <w:color w:val="000000"/>
                <w:sz w:val="20"/>
              </w:rPr>
              <w:t>o</w:t>
            </w:r>
          </w:p>
        </w:tc>
        <w:tc>
          <w:tcPr>
            <w:tcW w:w="8414" w:type="dxa"/>
            <w:gridSpan w:val="3"/>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14a- 6(i)(1) and 0-11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4038600"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38600" cy="800100"/>
                    </a:xfrm>
                    <a:prstGeom prst="rect">
                      <a:avLst/>
                    </a:prstGeom>
                  </pic:spPr>
                </pic:pic>
              </a:graphicData>
            </a:graphic>
          </wp:inline>
        </w:drawing>
      </w:r>
    </w:p>
    <w:p>
      <w:pPr>
        <w:pStyle w:val="TextBody"/>
        <w:bidi w:val="0"/>
        <w:jc w:val="left"/>
        <w:rPr/>
      </w:pPr>
      <w:r>
        <w:rPr/>
        <w:t> </w:t>
      </w:r>
    </w:p>
    <w:p>
      <w:pPr>
        <w:pStyle w:val="TextBody"/>
        <w:bidi w:val="0"/>
        <w:spacing w:before="136" w:after="283"/>
        <w:jc w:val="left"/>
        <w:rPr/>
      </w:pPr>
      <w:r>
        <w:rPr/>
        <w:t> </w:t>
      </w:r>
    </w:p>
    <w:p>
      <w:pPr>
        <w:pStyle w:val="TextBody"/>
        <w:bidi w:val="0"/>
        <w:jc w:val="center"/>
        <w:rPr>
          <w:rFonts w:ascii="sans-serif" w:hAnsi="sans-serif"/>
          <w:b/>
          <w:color w:val="000000"/>
          <w:sz w:val="22"/>
        </w:rPr>
      </w:pPr>
      <w:r>
        <w:rPr>
          <w:rFonts w:ascii="sans-serif" w:hAnsi="sans-serif"/>
          <w:b/>
          <w:color w:val="000000"/>
          <w:sz w:val="22"/>
        </w:rPr>
        <w:t>NOTICE OF INTERNET AVAILABILITY OF PROXY MATERIALS</w:t>
      </w:r>
    </w:p>
    <w:p>
      <w:pPr>
        <w:pStyle w:val="TextBody"/>
        <w:bidi w:val="0"/>
        <w:spacing w:before="166" w:after="283"/>
        <w:jc w:val="left"/>
        <w:rPr/>
      </w:pPr>
      <w:r>
        <w:rPr/>
        <w:t> </w:t>
      </w:r>
    </w:p>
    <w:p>
      <w:pPr>
        <w:pStyle w:val="TextBody"/>
        <w:bidi w:val="0"/>
        <w:spacing w:before="1" w:after="283"/>
        <w:jc w:val="center"/>
        <w:rPr>
          <w:rFonts w:ascii="sans-serif" w:hAnsi="sans-serif"/>
          <w:b/>
          <w:color w:val="000000"/>
          <w:sz w:val="22"/>
        </w:rPr>
      </w:pPr>
      <w:r>
        <w:rPr>
          <w:rFonts w:ascii="sans-serif" w:hAnsi="sans-serif"/>
          <w:b/>
          <w:color w:val="000000"/>
          <w:sz w:val="22"/>
        </w:rPr>
        <w:t>The Special Meeting of Stockholders of Cardiff Oncology, Inc. will be held on October 22, 2026, at 8:00 a.m. local time at the Company’s offices located at 11055 Flintkote Avenue, San Diego, California 92121</w:t>
      </w:r>
    </w:p>
    <w:p>
      <w:pPr>
        <w:pStyle w:val="TextBody"/>
        <w:bidi w:val="0"/>
        <w:spacing w:before="118" w:after="283"/>
        <w:jc w:val="left"/>
        <w:rPr/>
      </w:pPr>
      <w:r>
        <w:rPr/>
        <w:t> </w:t>
      </w:r>
    </w:p>
    <w:p>
      <w:pPr>
        <w:pStyle w:val="TextBody"/>
        <w:bidi w:val="0"/>
        <w:spacing w:before="1" w:after="283"/>
        <w:jc w:val="center"/>
        <w:rPr>
          <w:rFonts w:ascii="sans-serif" w:hAnsi="sans-serif"/>
          <w:b/>
          <w:color w:val="000000"/>
          <w:sz w:val="22"/>
        </w:rPr>
      </w:pPr>
      <w:r>
        <w:rPr>
          <w:rFonts w:ascii="sans-serif" w:hAnsi="sans-serif"/>
          <w:b/>
          <w:color w:val="000000"/>
          <w:sz w:val="22"/>
        </w:rPr>
        <w:t>PROXY STATEMENT IS AVAILABLE AT:</w:t>
      </w:r>
    </w:p>
    <w:p>
      <w:pPr>
        <w:pStyle w:val="TextBody"/>
        <w:bidi w:val="0"/>
        <w:spacing w:before="120" w:after="283"/>
        <w:jc w:val="center"/>
        <w:rPr>
          <w:rFonts w:ascii="sans-serif" w:hAnsi="sans-serif"/>
          <w:b/>
          <w:color w:val="0000FF"/>
          <w:sz w:val="20"/>
        </w:rPr>
      </w:pPr>
      <w:r>
        <w:rPr>
          <w:rFonts w:ascii="sans-serif" w:hAnsi="sans-serif"/>
          <w:b/>
          <w:color w:val="0000FF"/>
          <w:sz w:val="20"/>
        </w:rPr>
        <w:t>https://annualgeneralmeetings.com/crdfsp2026</w:t>
      </w:r>
    </w:p>
    <w:p>
      <w:pPr>
        <w:pStyle w:val="TextBody"/>
        <w:bidi w:val="0"/>
        <w:jc w:val="left"/>
        <w:rPr/>
      </w:pPr>
      <w:r>
        <w:rPr/>
        <w:t> </w:t>
      </w:r>
    </w:p>
    <w:p>
      <w:pPr>
        <w:pStyle w:val="TextBody"/>
        <w:bidi w:val="0"/>
        <w:jc w:val="left"/>
        <w:rPr/>
      </w:pPr>
      <w:r>
        <w:rPr/>
        <w:t> </w:t>
      </w:r>
    </w:p>
    <w:p>
      <w:pPr>
        <w:pStyle w:val="TextBody"/>
        <w:bidi w:val="0"/>
        <w:spacing w:before="21" w:after="283"/>
        <w:jc w:val="left"/>
        <w:rPr/>
      </w:pPr>
      <w:r>
        <w:rPr/>
        <w:t> </w:t>
      </w:r>
    </w:p>
    <w:p>
      <w:pPr>
        <w:pStyle w:val="TextBody"/>
        <w:bidi w:val="0"/>
        <w:jc w:val="left"/>
        <w:rPr>
          <w:rFonts w:ascii="sans-serif" w:hAnsi="sans-serif"/>
          <w:color w:val="000000"/>
          <w:sz w:val="20"/>
        </w:rPr>
      </w:pPr>
      <w:r>
        <w:rPr>
          <w:rFonts w:ascii="sans-serif" w:hAnsi="sans-serif"/>
          <w:color w:val="000000"/>
          <w:sz w:val="20"/>
        </w:rPr>
        <w:t>Dear Stockholder:</w:t>
      </w:r>
    </w:p>
    <w:p>
      <w:pPr>
        <w:pStyle w:val="TextBody"/>
        <w:bidi w:val="0"/>
        <w:spacing w:before="4" w:after="283"/>
        <w:jc w:val="left"/>
        <w:rPr/>
      </w:pPr>
      <w:r>
        <w:rPr/>
        <w:t> </w:t>
      </w:r>
    </w:p>
    <w:p>
      <w:pPr>
        <w:pStyle w:val="TextBody"/>
        <w:bidi w:val="0"/>
        <w:jc w:val="left"/>
        <w:rPr>
          <w:rFonts w:ascii="sans-serif" w:hAnsi="sans-serif"/>
          <w:color w:val="000000"/>
          <w:sz w:val="20"/>
        </w:rPr>
      </w:pPr>
      <w:r>
        <w:rPr>
          <w:rFonts w:ascii="sans-serif" w:hAnsi="sans-serif"/>
          <w:color w:val="000000"/>
          <w:sz w:val="20"/>
        </w:rPr>
        <w:t>The Special Meeting of Stockholders of Cardiff Oncology, Inc. has been called to consider and act upon the following matters:</w:t>
      </w:r>
    </w:p>
    <w:p>
      <w:pPr>
        <w:pStyle w:val="TextBody"/>
        <w:bidi w:val="0"/>
        <w:spacing w:before="240" w:after="283"/>
        <w:jc w:val="left"/>
        <w:rPr>
          <w:rFonts w:ascii="Times New Roman" w:hAnsi="Times New Roman"/>
          <w:sz w:val="20"/>
        </w:rPr>
      </w:pPr>
      <w:r>
        <w:rPr>
          <w:rFonts w:ascii="sans-serif" w:hAnsi="sans-serif"/>
          <w:b/>
          <w:color w:val="000000"/>
          <w:sz w:val="20"/>
        </w:rPr>
        <w:t xml:space="preserve">Proposal 1: </w:t>
      </w:r>
      <w:r>
        <w:rPr>
          <w:rFonts w:ascii="sans-serif" w:hAnsi="sans-serif"/>
          <w:color w:val="000000"/>
          <w:sz w:val="20"/>
        </w:rPr>
        <w:t>The adoption and approval of an amendment to our Amended and Restated Certificate of Incorporation, as amended, to increase the number of authorized shares of our capital stock from 170,000,000 to 320,000,000 and increase the number of authorized shares of our common stock from 150,000,000 to 300,000,000.</w:t>
      </w:r>
    </w:p>
    <w:p>
      <w:pPr>
        <w:pStyle w:val="TextBody"/>
        <w:bidi w:val="0"/>
        <w:spacing w:before="1" w:after="283"/>
        <w:jc w:val="left"/>
        <w:rPr/>
      </w:pPr>
      <w:r>
        <w:rPr/>
        <w:t> </w:t>
      </w:r>
    </w:p>
    <w:p>
      <w:pPr>
        <w:pStyle w:val="TextBody"/>
        <w:bidi w:val="0"/>
        <w:jc w:val="left"/>
        <w:rPr>
          <w:rFonts w:ascii="Times New Roman" w:hAnsi="Times New Roman"/>
          <w:sz w:val="20"/>
        </w:rPr>
      </w:pPr>
      <w:r>
        <w:rPr>
          <w:rFonts w:ascii="sans-serif" w:hAnsi="sans-serif"/>
          <w:b/>
          <w:color w:val="000000"/>
          <w:sz w:val="20"/>
        </w:rPr>
        <w:t xml:space="preserve">Proposal 2: </w:t>
      </w:r>
      <w:r>
        <w:rPr>
          <w:rFonts w:ascii="sans-serif" w:hAnsi="sans-serif"/>
          <w:color w:val="000000"/>
          <w:sz w:val="20"/>
        </w:rPr>
        <w:t>The approval of a proposal to adjourn the Special Meeting to a later date or dates, if necessary, to permit further solicitation of proxies in the event that there are insufficient votes for the adoption and approval of Proposal 1.</w:t>
      </w:r>
    </w:p>
    <w:p>
      <w:pPr>
        <w:pStyle w:val="TextBody"/>
        <w:bidi w:val="0"/>
        <w:spacing w:before="122" w:after="283"/>
        <w:jc w:val="left"/>
        <w:rPr/>
      </w:pPr>
      <w:r>
        <w:rPr/>
        <w:t> </w:t>
      </w:r>
    </w:p>
    <w:p>
      <w:pPr>
        <w:pStyle w:val="TextBody"/>
        <w:bidi w:val="0"/>
        <w:jc w:val="left"/>
        <w:rPr>
          <w:rFonts w:ascii="sans-serif" w:hAnsi="sans-serif"/>
          <w:color w:val="000000"/>
          <w:sz w:val="20"/>
        </w:rPr>
      </w:pPr>
      <w:r>
        <w:rPr>
          <w:rFonts w:ascii="sans-serif" w:hAnsi="sans-serif"/>
          <w:color w:val="000000"/>
          <w:sz w:val="20"/>
        </w:rPr>
        <w:t>Our Board of Directors recommends a vote “FOR” proposals 1 and 2.</w:t>
      </w:r>
    </w:p>
    <w:p>
      <w:pPr>
        <w:pStyle w:val="TextBody"/>
        <w:bidi w:val="0"/>
        <w:spacing w:before="1" w:after="283"/>
        <w:jc w:val="left"/>
        <w:rPr/>
      </w:pPr>
      <w:r>
        <w:rPr/>
        <w:t> </w:t>
      </w:r>
    </w:p>
    <w:p>
      <w:pPr>
        <w:pStyle w:val="TextBody"/>
        <w:bidi w:val="0"/>
        <w:jc w:val="left"/>
        <w:rPr>
          <w:rFonts w:ascii="Times New Roman" w:hAnsi="Times New Roman"/>
          <w:sz w:val="20"/>
        </w:rPr>
      </w:pPr>
      <w:r>
        <w:rPr>
          <w:rFonts w:ascii="sans-serif" w:hAnsi="sans-serif"/>
          <w:color w:val="000000"/>
          <w:sz w:val="20"/>
        </w:rPr>
        <w:t xml:space="preserve">You are receiving this communication because you hold shares in the company named above. Complete proxy materials, including the proxy card, are available to you on-line at </w:t>
      </w:r>
      <w:r>
        <w:rPr>
          <w:rFonts w:ascii="sans-serif" w:hAnsi="sans-serif"/>
          <w:b/>
          <w:color w:val="0000FF"/>
          <w:sz w:val="20"/>
        </w:rPr>
        <w:t xml:space="preserve">https://annualgeneralmeetings.com/crdfsp2026 </w:t>
      </w:r>
      <w:r>
        <w:rPr>
          <w:rFonts w:ascii="sans-serif" w:hAnsi="sans-serif"/>
          <w:color w:val="000000"/>
          <w:sz w:val="20"/>
        </w:rPr>
        <w:t>or upon your request by e-mail or first-class mail. We encourage you to access and review all of the important information contained in the proxy materials before voting.</w:t>
      </w:r>
    </w:p>
    <w:p>
      <w:pPr>
        <w:pStyle w:val="TextBody"/>
        <w:bidi w:val="0"/>
        <w:spacing w:before="243" w:after="283"/>
        <w:jc w:val="left"/>
        <w:rPr>
          <w:rFonts w:ascii="Times New Roman" w:hAnsi="Times New Roman"/>
          <w:sz w:val="20"/>
        </w:rPr>
      </w:pPr>
      <w:r>
        <w:rPr>
          <w:rFonts w:ascii="sans-serif" w:hAnsi="sans-serif"/>
          <w:b/>
          <w:color w:val="000000"/>
          <w:sz w:val="20"/>
        </w:rPr>
        <w:t xml:space="preserve">This is not a ballot. You cannot use this notice to vote your shares. </w:t>
      </w:r>
      <w:r>
        <w:rPr>
          <w:rFonts w:ascii="sans-serif" w:hAnsi="sans-serif"/>
          <w:color w:val="000000"/>
          <w:sz w:val="20"/>
        </w:rPr>
        <w:t xml:space="preserve">You may vote on-line, by mail or in person. If you wish to vote on-line, you will need your </w:t>
      </w:r>
      <w:r>
        <w:rPr>
          <w:rFonts w:ascii="Times New Roman" w:hAnsi="Times New Roman"/>
          <w:color w:val="000000"/>
          <w:sz w:val="20"/>
        </w:rPr>
        <w:t>“</w:t>
      </w:r>
      <w:r>
        <w:rPr>
          <w:rFonts w:ascii="sans-serif" w:hAnsi="sans-serif"/>
          <w:b/>
          <w:color w:val="000000"/>
          <w:sz w:val="20"/>
        </w:rPr>
        <w:t xml:space="preserve">Control Number” </w:t>
      </w:r>
      <w:r>
        <w:rPr>
          <w:rFonts w:ascii="sans-serif" w:hAnsi="sans-serif"/>
          <w:color w:val="000000"/>
          <w:sz w:val="20"/>
        </w:rPr>
        <w:t>(which can be found in the bottom right hand corner of this notice) and the web address, all of which will be included with or on the proxy card located on the Internet website stated above or mailed to you at your request. No other personal information will be required in order to vote in this manner. If you wish to vote by mail, simply print out the proxy card located on the Internet website stated above, mark the proxy card accordingly, sign and return it to us at the address indicated on the proxy card. If you wish to vote in person at the Special Meeting of Stockholders, simply check the box on the proxy card that you plan to attend. Your proxy card will not be used if you vote in person. Please check the meeting materials for any special requirements for meeting attendance and how to obtain directions to the meeting.</w:t>
      </w:r>
    </w:p>
    <w:p>
      <w:pPr>
        <w:pStyle w:val="TextBody"/>
        <w:bidi w:val="0"/>
        <w:jc w:val="left"/>
        <w:rPr>
          <w:rFonts w:ascii="sans-serif" w:hAnsi="sans-serif"/>
          <w:color w:val="000000"/>
          <w:sz w:val="20"/>
        </w:rPr>
      </w:pPr>
      <w:r>
        <w:rPr>
          <w:rFonts w:ascii="sans-serif" w:hAnsi="sans-serif"/>
          <w:color w:val="000000"/>
          <w:sz w:val="20"/>
        </w:rPr>
      </w:r>
    </w:p>
    <w:p>
      <w:pPr>
        <w:pStyle w:val="TextBody"/>
        <w:bidi w:val="0"/>
        <w:jc w:val="left"/>
        <w:rPr/>
      </w:pPr>
      <w:r>
        <w:rPr/>
        <w:t> </w:t>
      </w:r>
    </w:p>
    <w:p>
      <w:pPr>
        <w:pStyle w:val="TextBody"/>
        <w:bidi w:val="0"/>
        <w:jc w:val="left"/>
        <w:rPr/>
      </w:pPr>
      <w:r>
        <w:rPr/>
        <w:t> </w:t>
      </w:r>
    </w:p>
    <w:p>
      <w:pPr>
        <w:pStyle w:val="TextBody"/>
        <w:bidi w:val="0"/>
        <w:spacing w:before="1" w:after="283"/>
        <w:jc w:val="left"/>
        <w:rPr>
          <w:rFonts w:ascii="sans-serif" w:hAnsi="sans-serif"/>
          <w:b/>
          <w:color w:val="000000"/>
          <w:sz w:val="20"/>
        </w:rPr>
      </w:pPr>
      <w:r>
        <w:rPr>
          <w:rFonts w:ascii="sans-serif" w:hAnsi="sans-serif"/>
          <w:b/>
          <w:color w:val="000000"/>
          <w:sz w:val="20"/>
        </w:rPr>
        <w:t>Control Number: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center"/>
        <w:rPr>
          <w:rFonts w:ascii="sans-serif" w:hAnsi="sans-serif"/>
          <w:b/>
          <w:color w:val="000000"/>
          <w:sz w:val="22"/>
        </w:rPr>
      </w:pPr>
      <w:r>
        <w:rPr>
          <w:rFonts w:ascii="sans-serif" w:hAnsi="sans-serif"/>
          <w:b/>
          <w:color w:val="000000"/>
          <w:sz w:val="22"/>
        </w:rPr>
        <w:t>Important Notice Regarding the Availability of Proxy Materials for the Stockholder Meeting To Be Held on October 22, 2026:</w:t>
      </w:r>
    </w:p>
    <w:p>
      <w:pPr>
        <w:pStyle w:val="TextBody"/>
        <w:bidi w:val="0"/>
        <w:jc w:val="left"/>
        <w:rPr/>
      </w:pPr>
      <w:r>
        <w:rPr/>
        <w:t> </w:t>
      </w:r>
    </w:p>
    <w:p>
      <w:pPr>
        <w:pStyle w:val="TextBody"/>
        <w:bidi w:val="0"/>
        <w:spacing w:before="120" w:after="283"/>
        <w:jc w:val="left"/>
        <w:rPr/>
      </w:pPr>
      <w:r>
        <w:rPr/>
        <w:t> </w:t>
      </w:r>
    </w:p>
    <w:p>
      <w:pPr>
        <w:pStyle w:val="TextBody"/>
        <w:bidi w:val="0"/>
        <w:spacing w:before="0" w:after="0"/>
        <w:jc w:val="both"/>
        <w:rPr>
          <w:rFonts w:ascii="sans-serif" w:hAnsi="sans-serif"/>
          <w:color w:val="000000"/>
          <w:sz w:val="20"/>
        </w:rPr>
      </w:pPr>
      <w:r>
        <w:rPr>
          <w:rFonts w:ascii="sans-serif" w:hAnsi="sans-serif"/>
          <w:color w:val="000000"/>
          <w:sz w:val="20"/>
        </w:rPr>
        <w:t>(1)</w:t>
      </w:r>
    </w:p>
    <w:p>
      <w:pPr>
        <w:pStyle w:val="TextBody"/>
        <w:bidi w:val="0"/>
        <w:jc w:val="both"/>
        <w:rPr>
          <w:rFonts w:ascii="sans-serif" w:hAnsi="sans-serif"/>
          <w:color w:val="000000"/>
          <w:sz w:val="20"/>
        </w:rPr>
      </w:pPr>
      <w:r>
        <w:rPr>
          <w:rFonts w:ascii="sans-serif" w:hAnsi="sans-serif"/>
          <w:color w:val="000000"/>
          <w:sz w:val="20"/>
        </w:rPr>
        <w:t>This communication presents only an overview of the more complete proxy materials that are available to you on the Internet. We encourage you to access and review all of the important information contained in the proxy materials before voting.</w:t>
      </w:r>
    </w:p>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jc w:val="left"/>
        <w:rPr/>
      </w:pPr>
      <w:r>
        <w:rPr>
          <w:rFonts w:ascii="sans-serif" w:hAnsi="sans-serif"/>
          <w:color w:val="000000"/>
          <w:sz w:val="20"/>
        </w:rPr>
        <w:t xml:space="preserve">The Proxy Statement is available at </w:t>
      </w:r>
      <w:r>
        <w:rPr>
          <w:rFonts w:ascii="sans-serif" w:hAnsi="sans-serif"/>
          <w:b/>
          <w:color w:val="0000FF"/>
          <w:sz w:val="20"/>
        </w:rPr>
        <w:t>https://annualgeneralmeetings.com/crdfsp2026</w:t>
      </w:r>
    </w:p>
    <w:p>
      <w:pPr>
        <w:pStyle w:val="TextBody"/>
        <w:bidi w:val="0"/>
        <w:spacing w:before="119" w:after="283"/>
        <w:jc w:val="left"/>
        <w:rPr/>
      </w:pPr>
      <w:r>
        <w:rPr/>
        <w:t> </w:t>
      </w:r>
    </w:p>
    <w:p>
      <w:pPr>
        <w:pStyle w:val="TextBody"/>
        <w:bidi w:val="0"/>
        <w:spacing w:before="0" w:after="0"/>
        <w:jc w:val="both"/>
        <w:rPr>
          <w:rFonts w:ascii="sans-serif" w:hAnsi="sans-serif"/>
          <w:color w:val="000000"/>
          <w:sz w:val="20"/>
        </w:rPr>
      </w:pPr>
      <w:r>
        <w:rPr>
          <w:rFonts w:ascii="sans-serif" w:hAnsi="sans-serif"/>
          <w:color w:val="000000"/>
          <w:sz w:val="20"/>
        </w:rPr>
        <w:t>(3)</w:t>
      </w:r>
    </w:p>
    <w:p>
      <w:pPr>
        <w:pStyle w:val="TextBody"/>
        <w:bidi w:val="0"/>
        <w:jc w:val="both"/>
        <w:rPr>
          <w:rFonts w:ascii="sans-serif" w:hAnsi="sans-serif"/>
          <w:color w:val="000000"/>
          <w:sz w:val="20"/>
        </w:rPr>
      </w:pPr>
      <w:r>
        <w:rPr>
          <w:rFonts w:ascii="sans-serif" w:hAnsi="sans-serif"/>
          <w:color w:val="000000"/>
          <w:sz w:val="20"/>
        </w:rPr>
        <w:t>If you want to receive a paper or e-mail copy of these documents, you must request one. There is no charge to you for requesting a copy. Please make your request for a copy as instructed below on or before October 8, 2026 to facilitate timely delivery.</w:t>
      </w:r>
    </w:p>
    <w:p>
      <w:pPr>
        <w:pStyle w:val="TextBody"/>
        <w:bidi w:val="0"/>
        <w:jc w:val="left"/>
        <w:rPr/>
      </w:pPr>
      <w:r>
        <w:rPr/>
        <w:t> </w:t>
      </w:r>
    </w:p>
    <w:p>
      <w:pPr>
        <w:pStyle w:val="TextBody"/>
        <w:bidi w:val="0"/>
        <w:spacing w:before="3" w:after="283"/>
        <w:jc w:val="left"/>
        <w:rPr/>
      </w:pPr>
      <w:r>
        <w:rPr/>
        <w:t> </w:t>
      </w:r>
    </w:p>
    <w:p>
      <w:pPr>
        <w:pStyle w:val="TextBody"/>
        <w:bidi w:val="0"/>
        <w:jc w:val="left"/>
        <w:rPr>
          <w:rFonts w:ascii="sans-serif" w:hAnsi="sans-serif"/>
          <w:color w:val="000000"/>
          <w:sz w:val="20"/>
        </w:rPr>
      </w:pPr>
      <w:r>
        <w:rPr>
          <w:rFonts w:ascii="sans-serif" w:hAnsi="sans-serif"/>
          <w:color w:val="000000"/>
          <w:sz w:val="20"/>
        </w:rPr>
        <w:t>To request a paper copy of these items:</w:t>
      </w:r>
    </w:p>
    <w:p>
      <w:pPr>
        <w:pStyle w:val="TextBody"/>
        <w:bidi w:val="0"/>
        <w:spacing w:before="119" w:after="283"/>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0"/>
        </w:rPr>
      </w:pPr>
      <w:r>
        <w:rPr>
          <w:rFonts w:ascii="sans-serif" w:hAnsi="sans-serif"/>
          <w:color w:val="000000"/>
          <w:sz w:val="20"/>
        </w:rPr>
        <w:t>Call our toll-free number – 1-800-785-3033; or</w:t>
      </w:r>
    </w:p>
    <w:p>
      <w:pPr>
        <w:pStyle w:val="TextBody"/>
        <w:bidi w:val="0"/>
        <w:spacing w:before="118" w:after="283"/>
        <w:jc w:val="left"/>
        <w:rPr>
          <w:color w:val="000000"/>
        </w:rPr>
      </w:pPr>
      <w:r>
        <w:rPr>
          <w:color w:val="000000"/>
        </w:rPr>
        <w:t>•</w:t>
      </w:r>
    </w:p>
    <w:p>
      <w:pPr>
        <w:pStyle w:val="TextBody"/>
        <w:bidi w:val="0"/>
        <w:spacing w:before="118" w:after="283"/>
        <w:jc w:val="left"/>
        <w:rPr/>
      </w:pPr>
      <w:r>
        <w:rPr>
          <w:rFonts w:ascii="sans-serif" w:hAnsi="sans-serif"/>
          <w:color w:val="000000"/>
          <w:sz w:val="20"/>
        </w:rPr>
        <w:t xml:space="preserve">Visit our website at </w:t>
      </w:r>
      <w:r>
        <w:rPr>
          <w:rFonts w:ascii="sans-serif" w:hAnsi="sans-serif"/>
          <w:b/>
          <w:color w:val="0000FF"/>
          <w:sz w:val="20"/>
        </w:rPr>
        <w:t>https://annualgeneralmeetings.com/crdfsp2026</w:t>
      </w:r>
      <w:r>
        <w:rPr>
          <w:rFonts w:ascii="sans-serif" w:hAnsi="sans-serif"/>
          <w:color w:val="0000FF"/>
          <w:sz w:val="20"/>
        </w:rPr>
        <w:t xml:space="preserve">; </w:t>
      </w:r>
      <w:r>
        <w:rPr>
          <w:rFonts w:ascii="sans-serif" w:hAnsi="sans-serif"/>
          <w:color w:val="000000"/>
          <w:sz w:val="20"/>
        </w:rPr>
        <w:t>or</w:t>
      </w:r>
    </w:p>
    <w:p>
      <w:pPr>
        <w:pStyle w:val="TextBody"/>
        <w:bidi w:val="0"/>
        <w:spacing w:before="121" w:after="283"/>
        <w:jc w:val="left"/>
        <w:rPr>
          <w:color w:val="000000"/>
        </w:rPr>
      </w:pPr>
      <w:r>
        <w:rPr>
          <w:color w:val="000000"/>
        </w:rPr>
        <w:t>•</w:t>
      </w:r>
    </w:p>
    <w:p>
      <w:pPr>
        <w:pStyle w:val="TextBody"/>
        <w:bidi w:val="0"/>
        <w:spacing w:before="121" w:after="283"/>
        <w:jc w:val="left"/>
        <w:rPr/>
      </w:pPr>
      <w:r>
        <w:rPr>
          <w:rFonts w:ascii="sans-serif" w:hAnsi="sans-serif"/>
          <w:color w:val="000000"/>
          <w:sz w:val="20"/>
        </w:rPr>
        <w:t xml:space="preserve">Send us an e-mail at </w:t>
      </w:r>
      <w:r>
        <w:rPr>
          <w:rFonts w:ascii="sans-serif" w:hAnsi="sans-serif"/>
          <w:b/>
          <w:color w:val="0000FF"/>
          <w:sz w:val="20"/>
        </w:rPr>
        <w:t>cs@pacificstocktransfer.com</w:t>
      </w:r>
      <w:r>
        <w:rPr>
          <w:rFonts w:ascii="sans-serif" w:hAnsi="sans-serif"/>
          <w:color w:val="000000"/>
          <w:sz w:val="20"/>
        </w:rPr>
        <w:t>.</w:t>
      </w:r>
    </w:p>
    <w:p>
      <w:pPr>
        <w:pStyle w:val="TextBody"/>
        <w:bidi w:val="0"/>
        <w:spacing w:before="121" w:after="283"/>
        <w:jc w:val="left"/>
        <w:rPr/>
      </w:pPr>
      <w:r>
        <w:rPr/>
        <w:t> </w:t>
      </w:r>
    </w:p>
    <w:p>
      <w:pPr>
        <w:pStyle w:val="TextBody"/>
        <w:bidi w:val="0"/>
        <w:jc w:val="left"/>
        <w:rPr>
          <w:rFonts w:ascii="sans-serif" w:hAnsi="sans-serif"/>
          <w:color w:val="000000"/>
          <w:sz w:val="20"/>
        </w:rPr>
      </w:pPr>
      <w:r>
        <w:rPr>
          <w:rFonts w:ascii="sans-serif" w:hAnsi="sans-serif"/>
          <w:color w:val="000000"/>
          <w:sz w:val="20"/>
        </w:rPr>
        <w:t>Please clearly identify the items you are requesting; Cardiff Oncology, Inc., and your name along with the Control Number located in the lower right hand corner of this notice and the name and address to which the materials should be mailed.</w:t>
      </w:r>
    </w:p>
    <w:p>
      <w:pPr>
        <w:pStyle w:val="TextBody"/>
        <w:bidi w:val="0"/>
        <w:jc w:val="left"/>
        <w:rPr/>
      </w:pPr>
      <w:r>
        <w:rPr/>
        <w:t> </w:t>
      </w:r>
    </w:p>
    <w:p>
      <w:pPr>
        <w:pStyle w:val="TextBody"/>
        <w:bidi w:val="0"/>
        <w:spacing w:before="69"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By Order of the Board of Directors</w:t>
      </w:r>
    </w:p>
    <w:p>
      <w:pPr>
        <w:pStyle w:val="TextBody"/>
        <w:bidi w:val="0"/>
        <w:spacing w:before="208" w:after="283"/>
        <w:jc w:val="left"/>
        <w:rPr>
          <w:rFonts w:ascii="Times New Roman" w:hAnsi="Times New Roman"/>
          <w:color w:val="000000"/>
          <w:sz w:val="20"/>
        </w:rPr>
      </w:pPr>
      <w:r>
        <w:rPr>
          <w:rFonts w:ascii="Times New Roman" w:hAnsi="Times New Roman"/>
          <w:color w:val="000000"/>
          <w:sz w:val="20"/>
        </w:rPr>
        <w:t>/s/ Dr. Rodney S. Markin MD, Ph.D. Chairman of the Board of Directors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7" w:after="283"/>
        <w:jc w:val="left"/>
        <w:rPr/>
      </w:pPr>
      <w:r>
        <w:rPr/>
        <w:t> </w:t>
      </w:r>
    </w:p>
    <w:p>
      <w:pPr>
        <w:pStyle w:val="TextBody"/>
        <w:bidi w:val="0"/>
        <w:spacing w:before="1" w:after="283"/>
        <w:jc w:val="left"/>
        <w:rPr>
          <w:rFonts w:ascii="sans-serif" w:hAnsi="sans-serif"/>
          <w:b/>
          <w:color w:val="000000"/>
          <w:sz w:val="20"/>
        </w:rPr>
      </w:pPr>
      <w:r>
        <w:rPr>
          <w:rFonts w:ascii="sans-serif" w:hAnsi="sans-serif"/>
          <w:b/>
          <w:color w:val="000000"/>
          <w:sz w:val="20"/>
        </w:rPr>
        <w:t>Control Number:</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761</Words>
  <Characters>3920</Characters>
  <CharactersWithSpaces>4697</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