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180340</wp:posOffset>
            </wp:positionV>
            <wp:extent cx="1251585" cy="248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1585" cy="248920"/>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tbl>
      <w:tblPr>
        <w:tblLayout w:type="fixed"/>
        <w:tblInd w:w="1360" w:type="dxa"/>
        <w:tblCellMar>
          <w:top w:w="0" w:type="dxa"/>
          <w:left w:w="0" w:type="dxa"/>
          <w:bottom w:w="0" w:type="dxa"/>
          <w:right w:w="0" w:type="dxa"/>
        </w:tblCellMar>
      </w:tblPr>
      <w:tr>
        <w:trPr>
          <w:trHeight w:val="391"/>
        </w:trPr>
        <w:tc>
          <w:tcPr>
            <w:tcW w:w="2140" w:type="dxa"/>
            <w:vAlign w:val="bottom"/>
          </w:tcPr>
          <w:p>
            <w:pPr>
              <w:spacing w:after="0"/>
              <w:rPr>
                <w:sz w:val="24"/>
                <w:szCs w:val="24"/>
                <w:color w:val="auto"/>
              </w:rPr>
            </w:pPr>
          </w:p>
        </w:tc>
        <w:tc>
          <w:tcPr>
            <w:tcW w:w="3980" w:type="dxa"/>
            <w:vAlign w:val="bottom"/>
          </w:tcPr>
          <w:p>
            <w:pPr>
              <w:jc w:val="center"/>
              <w:ind w:left="172"/>
              <w:spacing w:after="0"/>
              <w:rPr>
                <w:sz w:val="20"/>
                <w:szCs w:val="20"/>
                <w:color w:val="auto"/>
              </w:rPr>
            </w:pPr>
            <w:r>
              <w:rPr>
                <w:rFonts w:ascii="Arial" w:cs="Arial" w:eastAsia="Arial" w:hAnsi="Arial"/>
                <w:sz w:val="32"/>
                <w:szCs w:val="32"/>
                <w:b w:val="1"/>
                <w:bCs w:val="1"/>
                <w:color w:val="auto"/>
                <w:w w:val="93"/>
              </w:rPr>
              <w:t>Cardiff Oncology, Inc.</w:t>
            </w:r>
          </w:p>
        </w:tc>
      </w:tr>
      <w:tr>
        <w:trPr>
          <w:trHeight w:val="230"/>
        </w:trPr>
        <w:tc>
          <w:tcPr>
            <w:tcW w:w="2140" w:type="dxa"/>
            <w:vAlign w:val="bottom"/>
          </w:tcPr>
          <w:p>
            <w:pPr>
              <w:spacing w:after="0"/>
              <w:rPr>
                <w:sz w:val="20"/>
                <w:szCs w:val="20"/>
                <w:color w:val="auto"/>
              </w:rPr>
            </w:pPr>
          </w:p>
        </w:tc>
        <w:tc>
          <w:tcPr>
            <w:tcW w:w="3980" w:type="dxa"/>
            <w:vAlign w:val="bottom"/>
          </w:tcPr>
          <w:p>
            <w:pPr>
              <w:jc w:val="center"/>
              <w:ind w:left="152"/>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553"/>
        </w:trPr>
        <w:tc>
          <w:tcPr>
            <w:tcW w:w="2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3980" w:type="dxa"/>
            <w:vAlign w:val="bottom"/>
          </w:tcPr>
          <w:p>
            <w:pPr>
              <w:jc w:val="center"/>
              <w:ind w:left="212"/>
              <w:spacing w:after="0"/>
              <w:rPr>
                <w:sz w:val="20"/>
                <w:szCs w:val="20"/>
                <w:color w:val="auto"/>
              </w:rPr>
            </w:pPr>
            <w:r>
              <w:rPr>
                <w:rFonts w:ascii="Arial" w:cs="Arial" w:eastAsia="Arial" w:hAnsi="Arial"/>
                <w:sz w:val="18"/>
                <w:szCs w:val="18"/>
                <w:b w:val="1"/>
                <w:bCs w:val="1"/>
                <w:color w:val="auto"/>
                <w:w w:val="90"/>
              </w:rPr>
              <w:t>001-35558</w:t>
            </w:r>
          </w:p>
        </w:tc>
      </w:tr>
      <w:tr>
        <w:trPr>
          <w:trHeight w:val="270"/>
        </w:trPr>
        <w:tc>
          <w:tcPr>
            <w:tcW w:w="2140" w:type="dxa"/>
            <w:vAlign w:val="bottom"/>
          </w:tcPr>
          <w:p>
            <w:pPr>
              <w:jc w:val="center"/>
              <w:ind w:right="150"/>
              <w:spacing w:after="0"/>
              <w:rPr>
                <w:sz w:val="20"/>
                <w:szCs w:val="20"/>
                <w:color w:val="auto"/>
              </w:rPr>
            </w:pPr>
            <w:r>
              <w:rPr>
                <w:rFonts w:ascii="Arial" w:cs="Arial" w:eastAsia="Arial" w:hAnsi="Arial"/>
                <w:sz w:val="18"/>
                <w:szCs w:val="18"/>
                <w:color w:val="auto"/>
                <w:w w:val="92"/>
              </w:rPr>
              <w:t>(State or other jurisdiction</w:t>
            </w:r>
          </w:p>
        </w:tc>
        <w:tc>
          <w:tcPr>
            <w:tcW w:w="3980" w:type="dxa"/>
            <w:vAlign w:val="bottom"/>
          </w:tcPr>
          <w:p>
            <w:pPr>
              <w:jc w:val="center"/>
              <w:ind w:left="232"/>
              <w:spacing w:after="0"/>
              <w:rPr>
                <w:sz w:val="20"/>
                <w:szCs w:val="20"/>
                <w:color w:val="auto"/>
              </w:rPr>
            </w:pPr>
            <w:r>
              <w:rPr>
                <w:rFonts w:ascii="Arial" w:cs="Arial" w:eastAsia="Arial" w:hAnsi="Arial"/>
                <w:sz w:val="18"/>
                <w:szCs w:val="18"/>
                <w:color w:val="auto"/>
                <w:w w:val="93"/>
              </w:rPr>
              <w:t>(Commission File Number)</w:t>
            </w:r>
          </w:p>
        </w:tc>
      </w:tr>
    </w:tbl>
    <w:p>
      <w:pPr>
        <w:spacing w:after="0" w:line="13"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of incorporation or organization)</w:t>
      </w:r>
    </w:p>
    <w:p>
      <w:pPr>
        <w:spacing w:after="0" w:line="343" w:lineRule="exact"/>
        <w:rPr>
          <w:sz w:val="24"/>
          <w:szCs w:val="24"/>
          <w:color w:val="auto"/>
        </w:rPr>
      </w:pPr>
    </w:p>
    <w:p>
      <w:pPr>
        <w:jc w:val="center"/>
        <w:ind w:left="3160"/>
        <w:spacing w:after="0"/>
        <w:rPr>
          <w:sz w:val="20"/>
          <w:szCs w:val="20"/>
          <w:color w:val="auto"/>
        </w:rPr>
      </w:pPr>
      <w:r>
        <w:rPr>
          <w:rFonts w:ascii="Arial" w:cs="Arial" w:eastAsia="Arial" w:hAnsi="Arial"/>
          <w:sz w:val="18"/>
          <w:szCs w:val="18"/>
          <w:b w:val="1"/>
          <w:bCs w:val="1"/>
          <w:color w:val="auto"/>
        </w:rPr>
        <w:t>11055 Flintkote Avenue</w:t>
      </w:r>
    </w:p>
    <w:p>
      <w:pPr>
        <w:spacing w:after="0" w:line="27" w:lineRule="exact"/>
        <w:rPr>
          <w:sz w:val="24"/>
          <w:szCs w:val="24"/>
          <w:color w:val="auto"/>
        </w:rPr>
      </w:pPr>
    </w:p>
    <w:p>
      <w:pPr>
        <w:jc w:val="center"/>
        <w:ind w:left="3160"/>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left="3160"/>
        <w:spacing w:after="0"/>
        <w:rPr>
          <w:sz w:val="20"/>
          <w:szCs w:val="20"/>
          <w:color w:val="auto"/>
        </w:rPr>
      </w:pPr>
      <w:r>
        <w:rPr>
          <w:rFonts w:ascii="Arial" w:cs="Arial" w:eastAsia="Arial" w:hAnsi="Arial"/>
          <w:sz w:val="18"/>
          <w:szCs w:val="18"/>
          <w:color w:val="auto"/>
        </w:rPr>
        <w:t>(Address of principal executive offices)</w:t>
      </w:r>
    </w:p>
    <w:p>
      <w:pPr>
        <w:spacing w:after="0" w:line="11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952-7570</w:t>
      </w:r>
    </w:p>
    <w:p>
      <w:pPr>
        <w:spacing w:after="0" w:line="175"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Trovagene, Inc</w:t>
      </w:r>
    </w:p>
    <w:p>
      <w:pPr>
        <w:spacing w:after="0" w:line="23" w:lineRule="exact"/>
        <w:rPr>
          <w:sz w:val="24"/>
          <w:szCs w:val="24"/>
          <w:color w:val="auto"/>
        </w:rPr>
      </w:pPr>
    </w:p>
    <w:p>
      <w:pPr>
        <w:ind w:left="3420"/>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4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27-2004382</w:t>
      </w:r>
    </w:p>
    <w:p>
      <w:pPr>
        <w:spacing w:after="0" w:line="67" w:lineRule="exact"/>
        <w:rPr>
          <w:sz w:val="24"/>
          <w:szCs w:val="24"/>
          <w:color w:val="auto"/>
        </w:rPr>
      </w:pPr>
    </w:p>
    <w:p>
      <w:pPr>
        <w:jc w:val="center"/>
        <w:ind w:right="1600"/>
        <w:spacing w:after="0"/>
        <w:rPr>
          <w:sz w:val="20"/>
          <w:szCs w:val="20"/>
          <w:color w:val="auto"/>
        </w:rPr>
      </w:pPr>
      <w:r>
        <w:rPr>
          <w:rFonts w:ascii="Arial" w:cs="Arial" w:eastAsia="Arial" w:hAnsi="Arial"/>
          <w:sz w:val="18"/>
          <w:szCs w:val="18"/>
          <w:color w:val="auto"/>
        </w:rPr>
        <w:t>IRS Employer</w:t>
      </w:r>
    </w:p>
    <w:p>
      <w:pPr>
        <w:spacing w:after="0" w:line="63" w:lineRule="exact"/>
        <w:rPr>
          <w:sz w:val="24"/>
          <w:szCs w:val="24"/>
          <w:color w:val="auto"/>
        </w:rPr>
      </w:pPr>
    </w:p>
    <w:p>
      <w:pPr>
        <w:jc w:val="center"/>
        <w:ind w:right="1600"/>
        <w:spacing w:after="0"/>
        <w:rPr>
          <w:sz w:val="20"/>
          <w:szCs w:val="20"/>
          <w:color w:val="auto"/>
        </w:rPr>
      </w:pPr>
      <w:r>
        <w:rPr>
          <w:rFonts w:ascii="Arial" w:cs="Arial" w:eastAsia="Arial" w:hAnsi="Arial"/>
          <w:sz w:val="17"/>
          <w:szCs w:val="17"/>
          <w:color w:val="auto"/>
        </w:rPr>
        <w:t>Identification No.)</w:t>
      </w:r>
    </w:p>
    <w:p>
      <w:pPr>
        <w:spacing w:after="0" w:line="2587" w:lineRule="exact"/>
        <w:rPr>
          <w:sz w:val="24"/>
          <w:szCs w:val="24"/>
          <w:color w:val="auto"/>
        </w:rPr>
      </w:pPr>
    </w:p>
    <w:p>
      <w:pPr>
        <w:sectPr>
          <w:pgSz w:w="11900" w:h="16838" w:orient="portrait"/>
          <w:cols w:equalWidth="0" w:num="2">
            <w:col w:w="8080" w:space="220"/>
            <w:col w:w="2940"/>
          </w:cols>
          <w:pgMar w:left="320" w:top="1111" w:right="339" w:bottom="1440" w:gutter="0" w:footer="0" w:header="0"/>
          <w:type w:val="continuous"/>
        </w:sectPr>
      </w:pPr>
    </w:p>
    <w:p>
      <w:pPr>
        <w:spacing w:after="0" w:line="206" w:lineRule="exact"/>
        <w:rPr>
          <w:sz w:val="24"/>
          <w:szCs w:val="24"/>
          <w:color w:val="auto"/>
        </w:rPr>
      </w:pPr>
    </w:p>
    <w:tbl>
      <w:tblPr>
        <w:tblLayout w:type="fixed"/>
        <w:tblInd w:w="40" w:type="dxa"/>
        <w:tblCellMar>
          <w:top w:w="0" w:type="dxa"/>
          <w:left w:w="0" w:type="dxa"/>
          <w:bottom w:w="0" w:type="dxa"/>
          <w:right w:w="0" w:type="dxa"/>
        </w:tblCellMar>
      </w:tblPr>
      <w:tr>
        <w:trPr>
          <w:trHeight w:val="186"/>
        </w:trPr>
        <w:tc>
          <w:tcPr>
            <w:tcW w:w="4160" w:type="dxa"/>
            <w:vAlign w:val="bottom"/>
            <w:gridSpan w:val="2"/>
          </w:tcPr>
          <w:p>
            <w:pPr>
              <w:ind w:left="1360"/>
              <w:spacing w:after="0"/>
              <w:rPr>
                <w:sz w:val="20"/>
                <w:szCs w:val="20"/>
                <w:color w:val="auto"/>
              </w:rPr>
            </w:pPr>
            <w:r>
              <w:rPr>
                <w:rFonts w:ascii="Arial" w:cs="Arial" w:eastAsia="Arial" w:hAnsi="Arial"/>
                <w:sz w:val="14"/>
                <w:szCs w:val="14"/>
                <w:b w:val="1"/>
                <w:bCs w:val="1"/>
                <w:color w:val="auto"/>
              </w:rPr>
              <w:t>Title of each class:</w:t>
            </w:r>
          </w:p>
        </w:tc>
        <w:tc>
          <w:tcPr>
            <w:tcW w:w="3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Trading Symbol(s)</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32"/>
        </w:trPr>
        <w:tc>
          <w:tcPr>
            <w:tcW w:w="39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74"/>
        </w:trPr>
        <w:tc>
          <w:tcPr>
            <w:tcW w:w="4160" w:type="dxa"/>
            <w:vAlign w:val="bottom"/>
            <w:gridSpan w:val="2"/>
          </w:tcPr>
          <w:p>
            <w:pPr>
              <w:ind w:left="1340"/>
              <w:spacing w:after="0"/>
              <w:rPr>
                <w:sz w:val="20"/>
                <w:szCs w:val="20"/>
                <w:color w:val="auto"/>
              </w:rPr>
            </w:pPr>
            <w:r>
              <w:rPr>
                <w:rFonts w:ascii="Arial" w:cs="Arial" w:eastAsia="Arial" w:hAnsi="Arial"/>
                <w:sz w:val="18"/>
                <w:szCs w:val="18"/>
                <w:color w:val="auto"/>
              </w:rPr>
              <w:t>Common Stock</w:t>
            </w:r>
          </w:p>
        </w:tc>
        <w:tc>
          <w:tcPr>
            <w:tcW w:w="2840" w:type="dxa"/>
            <w:vAlign w:val="bottom"/>
          </w:tcPr>
          <w:p>
            <w:pPr>
              <w:jc w:val="center"/>
              <w:spacing w:after="0"/>
              <w:rPr>
                <w:sz w:val="20"/>
                <w:szCs w:val="20"/>
                <w:color w:val="auto"/>
              </w:rPr>
            </w:pPr>
            <w:r>
              <w:rPr>
                <w:rFonts w:ascii="Arial" w:cs="Arial" w:eastAsia="Arial" w:hAnsi="Arial"/>
                <w:sz w:val="22"/>
                <w:szCs w:val="22"/>
                <w:color w:val="auto"/>
                <w:w w:val="91"/>
              </w:rPr>
              <w:t>CRDF</w:t>
            </w:r>
          </w:p>
        </w:tc>
        <w:tc>
          <w:tcPr>
            <w:tcW w:w="260" w:type="dxa"/>
            <w:vAlign w:val="bottom"/>
          </w:tcPr>
          <w:p>
            <w:pPr>
              <w:spacing w:after="0"/>
              <w:rPr>
                <w:sz w:val="23"/>
                <w:szCs w:val="23"/>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200" w:lineRule="exact"/>
        <w:rPr>
          <w:sz w:val="24"/>
          <w:szCs w:val="24"/>
          <w:color w:val="auto"/>
        </w:rPr>
      </w:pPr>
    </w:p>
    <w:p>
      <w:pPr>
        <w:spacing w:after="0" w:line="33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460" w:hanging="452"/>
        <w:spacing w:after="0"/>
        <w:tabs>
          <w:tab w:leader="none" w:pos="460" w:val="left"/>
        </w:tabs>
        <w:numPr>
          <w:ilvl w:val="0"/>
          <w:numId w:val="1"/>
        </w:numPr>
        <w:rPr>
          <w:rFonts w:ascii="Arial" w:cs="Arial" w:eastAsia="Arial" w:hAnsi="Arial"/>
          <w:sz w:val="20"/>
          <w:szCs w:val="20"/>
          <w:color w:val="auto"/>
        </w:rPr>
      </w:pPr>
      <w:r>
        <w:rPr>
          <w:rFonts w:ascii="Arial" w:cs="Arial" w:eastAsia="Arial" w:hAnsi="Arial"/>
          <w:sz w:val="18"/>
          <w:szCs w:val="18"/>
          <w:color w:val="auto"/>
        </w:rPr>
        <w:t>Written communication pursuant to Rule 425 under the Securities Act (17 CFR 230.425)</w:t>
      </w:r>
    </w:p>
    <w:p>
      <w:pPr>
        <w:spacing w:after="0" w:line="161" w:lineRule="exact"/>
        <w:rPr>
          <w:rFonts w:ascii="Arial" w:cs="Arial" w:eastAsia="Arial" w:hAnsi="Arial"/>
          <w:sz w:val="20"/>
          <w:szCs w:val="20"/>
          <w:color w:val="auto"/>
        </w:rPr>
      </w:pPr>
    </w:p>
    <w:p>
      <w:pPr>
        <w:ind w:left="460" w:hanging="452"/>
        <w:spacing w:after="0"/>
        <w:tabs>
          <w:tab w:leader="none" w:pos="460" w:val="left"/>
        </w:tabs>
        <w:numPr>
          <w:ilvl w:val="0"/>
          <w:numId w:val="1"/>
        </w:numPr>
        <w:rPr>
          <w:rFonts w:ascii="Arial" w:cs="Arial" w:eastAsia="Arial" w:hAnsi="Arial"/>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61" w:lineRule="exact"/>
        <w:rPr>
          <w:rFonts w:ascii="Arial" w:cs="Arial" w:eastAsia="Arial" w:hAnsi="Arial"/>
          <w:sz w:val="20"/>
          <w:szCs w:val="20"/>
          <w:color w:val="auto"/>
        </w:rPr>
      </w:pPr>
    </w:p>
    <w:p>
      <w:pPr>
        <w:ind w:left="460" w:hanging="452"/>
        <w:spacing w:after="0"/>
        <w:tabs>
          <w:tab w:leader="none" w:pos="460" w:val="left"/>
        </w:tabs>
        <w:numPr>
          <w:ilvl w:val="0"/>
          <w:numId w:val="1"/>
        </w:numPr>
        <w:rPr>
          <w:rFonts w:ascii="Arial" w:cs="Arial" w:eastAsia="Arial" w:hAnsi="Arial"/>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61" w:lineRule="exact"/>
        <w:rPr>
          <w:rFonts w:ascii="Arial" w:cs="Arial" w:eastAsia="Arial" w:hAnsi="Arial"/>
          <w:sz w:val="20"/>
          <w:szCs w:val="20"/>
          <w:color w:val="auto"/>
        </w:rPr>
      </w:pPr>
    </w:p>
    <w:p>
      <w:pPr>
        <w:ind w:left="460" w:hanging="452"/>
        <w:spacing w:after="0"/>
        <w:tabs>
          <w:tab w:leader="none" w:pos="460" w:val="left"/>
        </w:tabs>
        <w:numPr>
          <w:ilvl w:val="0"/>
          <w:numId w:val="1"/>
        </w:numPr>
        <w:rPr>
          <w:rFonts w:ascii="Arial" w:cs="Arial" w:eastAsia="Arial" w:hAnsi="Arial"/>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310" w:lineRule="exact"/>
        <w:rPr>
          <w:sz w:val="24"/>
          <w:szCs w:val="24"/>
          <w:color w:val="auto"/>
        </w:rPr>
      </w:pPr>
    </w:p>
    <w:p>
      <w:pPr>
        <w:ind w:firstLine="45"/>
        <w:spacing w:after="0" w:line="358" w:lineRule="auto"/>
        <w:rPr>
          <w:sz w:val="20"/>
          <w:szCs w:val="20"/>
          <w:color w:val="auto"/>
        </w:rPr>
      </w:pPr>
      <w:r>
        <w:rPr>
          <w:rFonts w:ascii="Arial" w:cs="Arial" w:eastAsia="Arial" w:hAnsi="Arial"/>
          <w:sz w:val="17"/>
          <w:szCs w:val="17"/>
          <w:color w:val="auto"/>
        </w:rPr>
        <w:t xml:space="preserve">Indicate by check mark whether the registrant is an emerging growth company as defined in as defined in Rule 405 of the Securities Act of 1933 (§230.405 of this chapter) or Rule 12b-2 of the Securities Exchange Act of 1934 (§240.12b-2 of this chapter). Emerging growth company </w:t>
      </w:r>
      <w:r>
        <w:rPr>
          <w:rFonts w:ascii="Arial" w:cs="Arial" w:eastAsia="Arial" w:hAnsi="Arial"/>
          <w:sz w:val="18"/>
          <w:szCs w:val="18"/>
          <w:color w:val="auto"/>
        </w:rPr>
        <w:t>o</w:t>
      </w:r>
    </w:p>
    <w:p>
      <w:pPr>
        <w:spacing w:after="0" w:line="75" w:lineRule="exact"/>
        <w:rPr>
          <w:sz w:val="24"/>
          <w:szCs w:val="24"/>
          <w:color w:val="auto"/>
        </w:rPr>
      </w:pPr>
    </w:p>
    <w:p>
      <w:pPr>
        <w:ind w:right="120" w:firstLine="45"/>
        <w:spacing w:after="0" w:line="282"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9"/>
          <w:szCs w:val="19"/>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111"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360"/>
        <w:spacing w:after="0" w:line="324" w:lineRule="auto"/>
        <w:rPr>
          <w:sz w:val="20"/>
          <w:szCs w:val="20"/>
          <w:color w:val="auto"/>
        </w:rPr>
      </w:pPr>
      <w:r>
        <w:rPr>
          <w:rFonts w:ascii="Arial" w:cs="Arial" w:eastAsia="Arial" w:hAnsi="Arial"/>
          <w:sz w:val="16"/>
          <w:szCs w:val="16"/>
          <w:color w:val="auto"/>
        </w:rPr>
        <w:t>On July 30, 2020, Cardiff Oncology, Inc. (the “Company”) issued a press release announcing that the Company will participate in the William Blair Biotech Focus Conference, a virtual conference, taking place August 4-6, 2020. A copy of the press release is furnished as Exhibit 99.1 to this Form 8-K.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74" w:lineRule="exact"/>
        <w:rPr>
          <w:sz w:val="20"/>
          <w:szCs w:val="20"/>
          <w:color w:val="auto"/>
        </w:rPr>
      </w:pPr>
    </w:p>
    <w:p>
      <w:pPr>
        <w:ind w:left="340"/>
        <w:spacing w:after="0"/>
        <w:tabs>
          <w:tab w:leader="none" w:pos="98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3">
        <w:r>
          <w:rPr>
            <w:rFonts w:ascii="Arial" w:cs="Arial" w:eastAsia="Arial" w:hAnsi="Arial"/>
            <w:sz w:val="16"/>
            <w:szCs w:val="16"/>
            <w:u w:val="single" w:color="auto"/>
            <w:color w:val="0000FF"/>
          </w:rPr>
          <w:t>Press Release of Cardiff Oncology, Inc. dated July 30, 2020</w:t>
        </w:r>
        <w:r>
          <w:rPr>
            <w:rFonts w:ascii="Arial" w:cs="Arial" w:eastAsia="Arial" w:hAnsi="Arial"/>
            <w:sz w:val="16"/>
            <w:szCs w:val="16"/>
            <w:color w:val="0000FF"/>
          </w:rPr>
          <w:t>.</w:t>
        </w:r>
      </w:hyperlink>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Dated:</w:t>
        <w:tab/>
        <w:t>July 30, 2020</w:t>
      </w:r>
    </w:p>
    <w:p>
      <w:pPr>
        <w:spacing w:after="0" w:line="200" w:lineRule="exact"/>
        <w:rPr>
          <w:sz w:val="20"/>
          <w:szCs w:val="20"/>
          <w:color w:val="auto"/>
        </w:rPr>
      </w:pPr>
    </w:p>
    <w:p>
      <w:pPr>
        <w:spacing w:after="0" w:line="39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CARDIFF ONCOLOGY, INC.</w:t>
      </w:r>
    </w:p>
    <w:p>
      <w:pPr>
        <w:spacing w:after="0" w:line="200" w:lineRule="exact"/>
        <w:rPr>
          <w:sz w:val="20"/>
          <w:szCs w:val="20"/>
          <w:color w:val="auto"/>
        </w:rPr>
      </w:pPr>
    </w:p>
    <w:p>
      <w:pPr>
        <w:spacing w:after="0" w:line="376" w:lineRule="exact"/>
        <w:rPr>
          <w:sz w:val="20"/>
          <w:szCs w:val="20"/>
          <w:color w:val="auto"/>
        </w:rPr>
      </w:pPr>
    </w:p>
    <w:p>
      <w:pPr>
        <w:ind w:left="5640"/>
        <w:spacing w:after="0"/>
        <w:tabs>
          <w:tab w:leader="none" w:pos="6120" w:val="left"/>
        </w:tabs>
        <w:rPr>
          <w:sz w:val="20"/>
          <w:szCs w:val="20"/>
          <w:color w:val="auto"/>
        </w:rPr>
      </w:pPr>
      <w:r>
        <w:rPr>
          <w:rFonts w:ascii="Arial" w:cs="Arial" w:eastAsia="Arial" w:hAnsi="Arial"/>
          <w:sz w:val="18"/>
          <w:szCs w:val="18"/>
          <w:color w:val="auto"/>
        </w:rPr>
        <w:t>By:</w:t>
        <w:tab/>
        <w:t>/s/ Mark Erlander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31750</wp:posOffset>
            </wp:positionV>
            <wp:extent cx="3248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Mark Erlander</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5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320" w:top="688" w:right="539" w:bottom="1440" w:gutter="0" w:footer="0" w:header="0"/>
        </w:sectPr>
      </w:pPr>
    </w:p>
    <w:bookmarkStart w:id="2" w:name="page3"/>
    <w:bookmarkEnd w:id="2"/>
    <w:p>
      <w:pPr>
        <w:spacing w:after="0" w:line="1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1979930" cy="402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979930" cy="402590"/>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auto"/>
        </w:rPr>
        <w:t>Cardiff Oncology to Participate in the William Blair Biotech Focus Conference</w:t>
      </w:r>
    </w:p>
    <w:p>
      <w:pPr>
        <w:spacing w:after="0" w:line="237" w:lineRule="exact"/>
        <w:rPr>
          <w:sz w:val="20"/>
          <w:szCs w:val="20"/>
          <w:color w:val="auto"/>
        </w:rPr>
      </w:pPr>
    </w:p>
    <w:p>
      <w:pPr>
        <w:spacing w:after="0" w:line="269" w:lineRule="auto"/>
        <w:rPr>
          <w:sz w:val="20"/>
          <w:szCs w:val="20"/>
          <w:color w:val="auto"/>
        </w:rPr>
      </w:pPr>
      <w:r>
        <w:rPr>
          <w:rFonts w:ascii="Arial" w:cs="Arial" w:eastAsia="Arial" w:hAnsi="Arial"/>
          <w:sz w:val="21"/>
          <w:szCs w:val="21"/>
          <w:b w:val="1"/>
          <w:bCs w:val="1"/>
          <w:color w:val="auto"/>
        </w:rPr>
        <w:t>SAN DIEGO (July 30, 2020) – Cardiff Oncology, Inc. (Nasdaq: CRDF)</w:t>
      </w:r>
      <w:r>
        <w:rPr>
          <w:rFonts w:ascii="Arial" w:cs="Arial" w:eastAsia="Arial" w:hAnsi="Arial"/>
          <w:sz w:val="21"/>
          <w:szCs w:val="21"/>
          <w:color w:val="auto"/>
        </w:rPr>
        <w:t>, a clinical-stage oncology therapeutics</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developing drugs to treat cancers with the greatest medical need for new treatment options, including KRAS-mutated colorectal cancer, castration-resistant prostate cancer and leukemia, today announced that the Company will participate in the William Blair Biotech Focus Conference, a virtual conference, taking place August 4-6.</w:t>
      </w:r>
    </w:p>
    <w:p>
      <w:pPr>
        <w:spacing w:after="0" w:line="77" w:lineRule="exact"/>
        <w:rPr>
          <w:sz w:val="20"/>
          <w:szCs w:val="20"/>
          <w:color w:val="auto"/>
        </w:rPr>
      </w:pPr>
    </w:p>
    <w:p>
      <w:pPr>
        <w:ind w:right="480"/>
        <w:spacing w:after="0" w:line="249" w:lineRule="auto"/>
        <w:rPr>
          <w:sz w:val="20"/>
          <w:szCs w:val="20"/>
          <w:color w:val="auto"/>
        </w:rPr>
      </w:pPr>
      <w:r>
        <w:rPr>
          <w:rFonts w:ascii="Arial" w:cs="Arial" w:eastAsia="Arial" w:hAnsi="Arial"/>
          <w:sz w:val="22"/>
          <w:szCs w:val="22"/>
          <w:color w:val="auto"/>
        </w:rPr>
        <w:t>Chief Executive Officer, Dr. Mark Erlander, is scheduled to participate in a fireside chat on Thursday, August 6, at 10:00 a.m. PT / 12:00 p.m. CT / 1:00 p.m. ET.</w:t>
      </w:r>
    </w:p>
    <w:p>
      <w:pPr>
        <w:spacing w:after="0" w:line="231" w:lineRule="exact"/>
        <w:rPr>
          <w:sz w:val="20"/>
          <w:szCs w:val="20"/>
          <w:color w:val="auto"/>
        </w:rPr>
      </w:pPr>
    </w:p>
    <w:p>
      <w:pPr>
        <w:ind w:right="140"/>
        <w:spacing w:after="0" w:line="244" w:lineRule="auto"/>
        <w:rPr>
          <w:sz w:val="20"/>
          <w:szCs w:val="20"/>
          <w:color w:val="auto"/>
        </w:rPr>
      </w:pPr>
      <w:r>
        <w:rPr>
          <w:rFonts w:ascii="Arial" w:cs="Arial" w:eastAsia="Arial" w:hAnsi="Arial"/>
          <w:sz w:val="22"/>
          <w:szCs w:val="22"/>
          <w:color w:val="auto"/>
        </w:rPr>
        <w:t>The fireside chat will take a deeper look into Cardiff Oncology’s investigational drug, onvansertib, an oral and highly-selective Polo-like Kinase 1 (PLK1) inhibitor, which is currently in clinical trials for three different cancer indications – KRAS-mutated metastatic colorectal cancer, castration-resistant prostate cancer, and acute myeloid leukemia. The discussion will specifically focus on the scientific rationale behind patient selection strategies, synergies with existing treatments, and the data released to date.</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A live webcast may be accessed by visiting the Investor Relations events section of the Cardiff Oncology website or</w:t>
      </w:r>
    </w:p>
    <w:p>
      <w:pPr>
        <w:spacing w:after="0" w:line="4" w:lineRule="exact"/>
        <w:rPr>
          <w:sz w:val="20"/>
          <w:szCs w:val="20"/>
          <w:color w:val="auto"/>
        </w:rPr>
      </w:pPr>
    </w:p>
    <w:p>
      <w:pPr>
        <w:ind w:right="200"/>
        <w:spacing w:after="0" w:line="220" w:lineRule="auto"/>
        <w:rPr>
          <w:sz w:val="20"/>
          <w:szCs w:val="20"/>
          <w:color w:val="auto"/>
        </w:rPr>
      </w:pPr>
      <w:r>
        <w:rPr>
          <w:rFonts w:ascii="Arial" w:cs="Arial" w:eastAsia="Arial" w:hAnsi="Arial"/>
          <w:sz w:val="22"/>
          <w:szCs w:val="22"/>
          <w:color w:val="auto"/>
        </w:rPr>
        <w:t xml:space="preserve">by clicking on the link </w:t>
      </w:r>
      <w:r>
        <w:rPr>
          <w:rFonts w:ascii="Arial" w:cs="Arial" w:eastAsia="Arial" w:hAnsi="Arial"/>
          <w:sz w:val="17"/>
          <w:szCs w:val="17"/>
          <w:u w:val="single" w:color="auto"/>
          <w:color w:val="0000FF"/>
        </w:rPr>
        <w:t>https://wsw.com/webcast/blair57/crdf/</w:t>
      </w:r>
      <w:r>
        <w:rPr>
          <w:rFonts w:ascii="Arial" w:cs="Arial" w:eastAsia="Arial" w:hAnsi="Arial"/>
          <w:sz w:val="17"/>
          <w:szCs w:val="17"/>
          <w:color w:val="auto"/>
        </w:rPr>
        <w:t>. A replay of the webcast will be available shortly after the conclusion of the</w:t>
      </w:r>
      <w:r>
        <w:rPr>
          <w:rFonts w:ascii="Arial" w:cs="Arial" w:eastAsia="Arial" w:hAnsi="Arial"/>
          <w:sz w:val="22"/>
          <w:szCs w:val="22"/>
          <w:color w:val="auto"/>
        </w:rPr>
        <w:t xml:space="preserve"> </w:t>
      </w:r>
      <w:r>
        <w:rPr>
          <w:rFonts w:ascii="Arial" w:cs="Arial" w:eastAsia="Arial" w:hAnsi="Arial"/>
          <w:sz w:val="17"/>
          <w:szCs w:val="17"/>
          <w:color w:val="auto"/>
        </w:rPr>
        <w:t>fireside chat and will be archived on the Company website for 90 days.</w:t>
      </w: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Cardiff Oncology, Inc.</w:t>
      </w:r>
    </w:p>
    <w:p>
      <w:pPr>
        <w:spacing w:after="0" w:line="138" w:lineRule="exact"/>
        <w:rPr>
          <w:sz w:val="20"/>
          <w:szCs w:val="20"/>
          <w:color w:val="auto"/>
        </w:rPr>
      </w:pPr>
    </w:p>
    <w:p>
      <w:pPr>
        <w:ind w:right="20"/>
        <w:spacing w:after="0" w:line="243" w:lineRule="auto"/>
        <w:rPr>
          <w:sz w:val="20"/>
          <w:szCs w:val="20"/>
          <w:color w:val="auto"/>
        </w:rPr>
      </w:pPr>
      <w:r>
        <w:rPr>
          <w:rFonts w:ascii="Arial" w:cs="Arial" w:eastAsia="Arial" w:hAnsi="Arial"/>
          <w:sz w:val="22"/>
          <w:szCs w:val="22"/>
          <w:color w:val="auto"/>
        </w:rPr>
        <w:t xml:space="preserve">Cardiff Oncology (formerly Trovagene, Inc.) is a clinical-stage biotechnology company with the singular mission of developing new treatment options for cancer patients in indications with the greatest medical need. Our goal is to overcome resistance, improve response to treatment and increase overall survival. We are developing onvansertib, a first-in-class, third-generation Polo-like Kinase 1 (PLK1) inhibitor, in combination with standard-of-care chemotherapy and targeted therapeutics. Our clinical development programs incorporate tumor genomics and biomarker technology to enable assessment of patient response to treatment. We have three ongoing clinical programs that are demonstrating the safety and efficacy of onvansertib: a Phase 1b/2 study of onvansertib in combination with FOLFIRI/Avastin® in KRAS-mutated metastatic colorectal cancer (mCRC); a Phase 2 study of onvansertib in combination with Zytiga® (abiraterone)/prednisone in metastatic castration-resistant prostate cancer (mCRPC); and a Phase 2 study of onvansertib in combination with decitabine in relapsed or refractory acute myeloid leukemia (AML). For more information, please visit </w:t>
      </w:r>
      <w:r>
        <w:rPr>
          <w:rFonts w:ascii="Arial" w:cs="Arial" w:eastAsia="Arial" w:hAnsi="Arial"/>
          <w:sz w:val="22"/>
          <w:szCs w:val="22"/>
          <w:u w:val="single" w:color="auto"/>
          <w:color w:val="0000FF"/>
        </w:rPr>
        <w:t>https://www.cardiffoncology.com</w:t>
      </w:r>
      <w:r>
        <w:rPr>
          <w:rFonts w:ascii="Arial" w:cs="Arial" w:eastAsia="Arial" w:hAnsi="Arial"/>
          <w:sz w:val="22"/>
          <w:szCs w:val="22"/>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Cardiff Oncology Contact: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Vicki Kelemen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EVP and Chief Operating Officer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858-952-7652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vkelemen@cardiffoncology.com</w:t>
      </w:r>
    </w:p>
    <w:p>
      <w:pPr>
        <w:spacing w:after="0" w:line="137"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-1-</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2020-07-30T12:24:36Z</dcterms:created>
  <dcterms:modified xsi:type="dcterms:W3CDTF">2020-07-30T12:24:36Z</dcterms:modified>
</cp:coreProperties>
</file>