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UNDER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43"/>
        </w:trPr>
        <w:tc>
          <w:tcPr>
            <w:tcW w:w="2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0" w:type="dxa"/>
            <w:vAlign w:val="bottom"/>
            <w:gridSpan w:val="4"/>
          </w:tcPr>
          <w:p>
            <w:pPr>
              <w:jc w:val="center"/>
              <w:ind w:right="373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001-35558</w:t>
            </w:r>
          </w:p>
        </w:tc>
      </w:tr>
      <w:tr>
        <w:trPr>
          <w:trHeight w:val="466"/>
        </w:trPr>
        <w:tc>
          <w:tcPr>
            <w:tcW w:w="2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20" w:type="dxa"/>
            <w:vAlign w:val="bottom"/>
            <w:gridSpan w:val="5"/>
          </w:tcPr>
          <w:p>
            <w:pPr>
              <w:jc w:val="center"/>
              <w:ind w:right="3519"/>
              <w:spacing w:after="0"/>
              <w:rPr>
                <w:sz w:val="20"/>
                <w:szCs w:val="20"/>
                <w:color w:val="auto"/>
              </w:rPr>
            </w:pPr>
            <w:r>
              <w:rPr>
                <w:rFonts w:ascii="Times New Roman" w:cs="Times New Roman" w:eastAsia="Times New Roman" w:hAnsi="Times New Roman"/>
                <w:sz w:val="29"/>
                <w:szCs w:val="29"/>
                <w:b w:val="1"/>
                <w:bCs w:val="1"/>
                <w:color w:val="auto"/>
                <w:w w:val="99"/>
              </w:rPr>
              <w:t>CARDIFF ONCOLOGY, INC.</w:t>
            </w:r>
          </w:p>
        </w:tc>
      </w:tr>
      <w:tr>
        <w:trPr>
          <w:trHeight w:val="216"/>
        </w:trPr>
        <w:tc>
          <w:tcPr>
            <w:tcW w:w="2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gridSpan w:val="4"/>
          </w:tcPr>
          <w:p>
            <w:pPr>
              <w:jc w:val="center"/>
              <w:ind w:right="37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43"/>
        </w:trPr>
        <w:tc>
          <w:tcPr>
            <w:tcW w:w="2380" w:type="dxa"/>
            <w:vAlign w:val="bottom"/>
          </w:tcPr>
          <w:p>
            <w:pPr>
              <w:spacing w:after="0"/>
              <w:rPr>
                <w:sz w:val="24"/>
                <w:szCs w:val="24"/>
                <w:color w:val="auto"/>
              </w:rPr>
            </w:pPr>
          </w:p>
        </w:tc>
        <w:tc>
          <w:tcPr>
            <w:tcW w:w="4040" w:type="dxa"/>
            <w:vAlign w:val="bottom"/>
            <w:gridSpan w:val="3"/>
          </w:tcPr>
          <w:p>
            <w:pPr>
              <w:jc w:val="center"/>
              <w:ind w:right="32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20" w:type="dxa"/>
            <w:vAlign w:val="bottom"/>
            <w:gridSpan w:val="3"/>
          </w:tcPr>
          <w:p>
            <w:pPr>
              <w:jc w:val="right"/>
              <w:ind w:right="2219"/>
              <w:spacing w:after="0"/>
              <w:rPr>
                <w:sz w:val="20"/>
                <w:szCs w:val="20"/>
                <w:color w:val="auto"/>
              </w:rPr>
            </w:pPr>
            <w:r>
              <w:rPr>
                <w:rFonts w:ascii="Times New Roman" w:cs="Times New Roman" w:eastAsia="Times New Roman" w:hAnsi="Times New Roman"/>
                <w:sz w:val="18"/>
                <w:szCs w:val="18"/>
                <w:b w:val="1"/>
                <w:bCs w:val="1"/>
                <w:color w:val="auto"/>
              </w:rPr>
              <w:t>27-2004382</w:t>
            </w:r>
          </w:p>
        </w:tc>
      </w:tr>
      <w:tr>
        <w:trPr>
          <w:trHeight w:val="237"/>
        </w:trPr>
        <w:tc>
          <w:tcPr>
            <w:tcW w:w="6420" w:type="dxa"/>
            <w:vAlign w:val="bottom"/>
            <w:gridSpan w:val="4"/>
          </w:tcPr>
          <w:p>
            <w:pPr>
              <w:jc w:val="center"/>
              <w:ind w:right="8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820" w:type="dxa"/>
            <w:vAlign w:val="bottom"/>
            <w:gridSpan w:val="3"/>
          </w:tcPr>
          <w:p>
            <w:pPr>
              <w:jc w:val="center"/>
              <w:ind w:right="5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57"/>
        </w:trPr>
        <w:tc>
          <w:tcPr>
            <w:tcW w:w="6420" w:type="dxa"/>
            <w:vAlign w:val="bottom"/>
            <w:gridSpan w:val="4"/>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11055 Flintkote Avenue, San Diego, California</w:t>
            </w:r>
          </w:p>
        </w:tc>
        <w:tc>
          <w:tcPr>
            <w:tcW w:w="4820" w:type="dxa"/>
            <w:vAlign w:val="bottom"/>
            <w:gridSpan w:val="3"/>
          </w:tcPr>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264"/>
        </w:trPr>
        <w:tc>
          <w:tcPr>
            <w:tcW w:w="6420" w:type="dxa"/>
            <w:vAlign w:val="bottom"/>
            <w:gridSpan w:val="4"/>
          </w:tcPr>
          <w:p>
            <w:pPr>
              <w:jc w:val="center"/>
              <w:ind w:right="8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0" w:type="dxa"/>
            <w:vAlign w:val="bottom"/>
          </w:tcPr>
          <w:p>
            <w:pPr>
              <w:jc w:val="center"/>
              <w:ind w:right="1799"/>
              <w:spacing w:after="0"/>
              <w:rPr>
                <w:sz w:val="20"/>
                <w:szCs w:val="20"/>
                <w:color w:val="auto"/>
              </w:rPr>
            </w:pPr>
            <w:r>
              <w:rPr>
                <w:rFonts w:ascii="Times New Roman" w:cs="Times New Roman" w:eastAsia="Times New Roman" w:hAnsi="Times New Roman"/>
                <w:sz w:val="16"/>
                <w:szCs w:val="16"/>
                <w:color w:val="auto"/>
              </w:rPr>
              <w:t>(Zip Code)</w:t>
            </w:r>
          </w:p>
        </w:tc>
      </w:tr>
      <w:tr>
        <w:trPr>
          <w:trHeight w:val="384"/>
        </w:trPr>
        <w:tc>
          <w:tcPr>
            <w:tcW w:w="2380" w:type="dxa"/>
            <w:vAlign w:val="bottom"/>
          </w:tcPr>
          <w:p>
            <w:pPr>
              <w:spacing w:after="0"/>
              <w:rPr>
                <w:sz w:val="24"/>
                <w:szCs w:val="24"/>
                <w:color w:val="auto"/>
              </w:rPr>
            </w:pPr>
          </w:p>
        </w:tc>
        <w:tc>
          <w:tcPr>
            <w:tcW w:w="4040" w:type="dxa"/>
            <w:vAlign w:val="bottom"/>
            <w:gridSpan w:val="3"/>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(858) 952-7570</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2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0" w:type="dxa"/>
            <w:vAlign w:val="bottom"/>
            <w:gridSpan w:val="4"/>
          </w:tcPr>
          <w:p>
            <w:pPr>
              <w:jc w:val="center"/>
              <w:ind w:right="37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76"/>
        </w:trPr>
        <w:tc>
          <w:tcPr>
            <w:tcW w:w="23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0"/>
        </w:trPr>
        <w:tc>
          <w:tcPr>
            <w:tcW w:w="23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Common Stock</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tcPr>
          <w:p>
            <w:pPr>
              <w:jc w:val="center"/>
              <w:ind w:left="939"/>
              <w:spacing w:after="0"/>
              <w:rPr>
                <w:sz w:val="20"/>
                <w:szCs w:val="20"/>
                <w:color w:val="auto"/>
              </w:rPr>
            </w:pPr>
            <w:r>
              <w:rPr>
                <w:rFonts w:ascii="Times New Roman" w:cs="Times New Roman" w:eastAsia="Times New Roman" w:hAnsi="Times New Roman"/>
                <w:sz w:val="18"/>
                <w:szCs w:val="18"/>
                <w:color w:val="auto"/>
              </w:rPr>
              <w:t>CRDF</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60" w:firstLine="37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firstLine="37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35" w:lineRule="exact"/>
        <w:rPr>
          <w:sz w:val="24"/>
          <w:szCs w:val="24"/>
          <w:color w:val="auto"/>
        </w:rPr>
      </w:pPr>
    </w:p>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34" w:lineRule="exact"/>
        <w:rPr>
          <w:sz w:val="24"/>
          <w:szCs w:val="24"/>
          <w:color w:val="auto"/>
        </w:rPr>
      </w:pPr>
    </w:p>
    <w:p>
      <w:pPr>
        <w:jc w:val="center"/>
        <w:ind w:left="-39"/>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ectPr>
          <w:pgSz w:w="11900" w:h="16838" w:orient="portrait"/>
          <w:cols w:equalWidth="0" w:num="5">
            <w:col w:w="1940" w:space="640"/>
            <w:col w:w="1480" w:space="720"/>
            <w:col w:w="1720" w:space="480"/>
            <w:col w:w="1960" w:space="280"/>
            <w:col w:w="2020"/>
          </w:cols>
          <w:pgMar w:left="320" w:top="225" w:right="339" w:bottom="1440" w:gutter="0" w:footer="0" w:header="0"/>
          <w:type w:val="continuous"/>
        </w:sectPr>
      </w:pPr>
    </w:p>
    <w:p>
      <w:pPr>
        <w:ind w:right="120" w:firstLine="37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May 7, 2026, the issuer had 68,369,896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gridSpan w:val="6"/>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CARDIFF ONCOLOGY, INC.</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4"/>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440" w:type="dxa"/>
            <w:vAlign w:val="bottom"/>
            <w:gridSpan w:val="24"/>
            <w:vMerge w:val="continue"/>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040" w:type="dxa"/>
            <w:vAlign w:val="bottom"/>
            <w:gridSpan w:val="11"/>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9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Condensed Balance Sheets</w:t>
            </w:r>
          </w:p>
        </w:tc>
        <w:tc>
          <w:tcPr>
            <w:tcW w:w="20" w:type="dxa"/>
            <w:vAlign w:val="bottom"/>
            <w:tcBorders>
              <w:top w:val="single" w:sz="8" w:color="0000FF"/>
              <w:bottom w:val="single" w:sz="8" w:color="0000EE"/>
            </w:tcBorders>
          </w:tcPr>
          <w:p>
            <w:pPr>
              <w:spacing w:after="0"/>
              <w:rPr>
                <w:sz w:val="24"/>
                <w:szCs w:val="24"/>
                <w:color w:val="auto"/>
              </w:rPr>
            </w:pPr>
          </w:p>
        </w:tc>
        <w:tc>
          <w:tcPr>
            <w:tcW w:w="240" w:type="dxa"/>
            <w:vAlign w:val="bottom"/>
            <w:tcBorders>
              <w:top w:val="single" w:sz="8" w:color="0000FF"/>
            </w:tcBorders>
            <w:gridSpan w:val="2"/>
          </w:tcPr>
          <w:p>
            <w:pPr>
              <w:spacing w:after="0"/>
              <w:rPr>
                <w:sz w:val="24"/>
                <w:szCs w:val="24"/>
                <w:color w:val="auto"/>
              </w:rPr>
            </w:pPr>
          </w:p>
        </w:tc>
        <w:tc>
          <w:tcPr>
            <w:tcW w:w="7060" w:type="dxa"/>
            <w:vAlign w:val="bottom"/>
            <w:gridSpan w:val="12"/>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1"/>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Statements of Operations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Statements of Comprehensive Loss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Statements of Stockholders’ Equity</w:t>
            </w:r>
          </w:p>
        </w:tc>
        <w:tc>
          <w:tcPr>
            <w:tcW w:w="5860" w:type="dxa"/>
            <w:vAlign w:val="bottom"/>
            <w:gridSpan w:val="4"/>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w:t>
            </w:r>
          </w:p>
        </w:tc>
        <w:tc>
          <w:tcPr>
            <w:tcW w:w="20" w:type="dxa"/>
            <w:vAlign w:val="bottom"/>
            <w:tcBorders>
              <w:bottom w:val="single" w:sz="8" w:color="0000EE"/>
            </w:tcBorders>
          </w:tcPr>
          <w:p>
            <w:pPr>
              <w:spacing w:after="0"/>
              <w:rPr>
                <w:sz w:val="24"/>
                <w:szCs w:val="24"/>
                <w:color w:val="auto"/>
              </w:rPr>
            </w:pPr>
          </w:p>
        </w:tc>
        <w:tc>
          <w:tcPr>
            <w:tcW w:w="6520" w:type="dxa"/>
            <w:vAlign w:val="bottom"/>
            <w:gridSpan w:val="8"/>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91"/>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20" w:type="dxa"/>
            <w:vAlign w:val="bottom"/>
            <w:tcBorders>
              <w:bottom w:val="single" w:sz="8" w:color="0000EE"/>
            </w:tcBorders>
          </w:tcPr>
          <w:p>
            <w:pPr>
              <w:spacing w:after="0"/>
              <w:rPr>
                <w:sz w:val="24"/>
                <w:szCs w:val="24"/>
                <w:color w:val="auto"/>
              </w:rPr>
            </w:pPr>
          </w:p>
        </w:tc>
        <w:tc>
          <w:tcPr>
            <w:tcW w:w="6240" w:type="dxa"/>
            <w:vAlign w:val="bottom"/>
            <w:gridSpan w:val="6"/>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9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29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7640" w:type="dxa"/>
            <w:vAlign w:val="bottom"/>
            <w:gridSpan w:val="17"/>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9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7400" w:type="dxa"/>
            <w:vAlign w:val="bottom"/>
            <w:gridSpan w:val="16"/>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00" w:type="dxa"/>
            <w:vAlign w:val="bottom"/>
            <w:gridSpan w:val="19"/>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9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9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00" w:type="dxa"/>
            <w:vAlign w:val="bottom"/>
            <w:gridSpan w:val="3"/>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9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5"/>
          </w:tcPr>
          <w:p>
            <w:pPr>
              <w:spacing w:after="0"/>
              <w:rPr>
                <w:sz w:val="24"/>
                <w:szCs w:val="24"/>
                <w:color w:val="auto"/>
              </w:rPr>
            </w:pPr>
          </w:p>
        </w:tc>
        <w:tc>
          <w:tcPr>
            <w:tcW w:w="7120" w:type="dxa"/>
            <w:vAlign w:val="bottom"/>
            <w:gridSpan w:val="13"/>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9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120" w:type="dxa"/>
            <w:vAlign w:val="bottom"/>
            <w:gridSpan w:val="20"/>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9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68"/>
        </w:trPr>
        <w:tc>
          <w:tcPr>
            <w:tcW w:w="1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3"/>
          </w:tcPr>
          <w:p>
            <w:pPr>
              <w:jc w:val="center"/>
              <w:ind w:left="2410"/>
              <w:spacing w:after="0"/>
              <w:rPr>
                <w:sz w:val="20"/>
                <w:szCs w:val="20"/>
                <w:color w:val="auto"/>
              </w:rPr>
            </w:pPr>
            <w:r>
              <w:rPr>
                <w:rFonts w:ascii="Times New Roman" w:cs="Times New Roman" w:eastAsia="Times New Roman" w:hAnsi="Times New Roman"/>
                <w:sz w:val="18"/>
                <w:szCs w:val="18"/>
                <w:color w:val="auto"/>
                <w:w w:val="88"/>
              </w:rPr>
              <w:t>2</w:t>
            </w:r>
          </w:p>
        </w:tc>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CARDIFF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40" w:type="dxa"/>
            <w:vAlign w:val="bottom"/>
            <w:shd w:val="clear" w:color="auto" w:fill="CFF0FC"/>
          </w:tcPr>
          <w:p>
            <w:pPr>
              <w:ind w:left="356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8,544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17,470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37,512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40,834</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and unbilled receivable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1,642</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47,342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60,128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549</w:t>
            </w:r>
          </w:p>
        </w:tc>
      </w:tr>
      <w:tr>
        <w:trPr>
          <w:trHeight w:val="25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49,172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61,884</w:t>
            </w:r>
          </w:p>
        </w:tc>
      </w:tr>
      <w:tr>
        <w:trPr>
          <w:trHeight w:val="413"/>
        </w:trPr>
        <w:tc>
          <w:tcPr>
            <w:tcW w:w="7740" w:type="dxa"/>
            <w:vAlign w:val="bottom"/>
            <w:tcBorders>
              <w:top w:val="single" w:sz="8" w:color="CFF0FC"/>
            </w:tcBorders>
          </w:tcPr>
          <w:p>
            <w:pPr>
              <w:ind w:left="248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5,480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8,087</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8,337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7,577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730</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14,463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16,394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14,463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16,496</w:t>
            </w:r>
          </w:p>
        </w:tc>
      </w:tr>
      <w:tr>
        <w:trPr>
          <w:trHeight w:val="216"/>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 shares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277 designated as Series A Convertible Preferred Stock;</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 shares outstanding at March 31, 2026 and December 31, 2025</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liquidation preference of $1,123 and $1,117 at</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8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 shares authorized; 68,370 and</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68,305 shares issued and outstanding at March 31, 2026</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477,126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475,361</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(442,375)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(430,030)</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34,709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45,388</w:t>
            </w: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49,172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61,884</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-3651250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-3634105</wp:posOffset>
            </wp:positionV>
            <wp:extent cx="11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CARDIFF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revenues</w:t>
            </w:r>
          </w:p>
        </w:tc>
        <w:tc>
          <w:tcPr>
            <w:tcW w:w="30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16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6,765</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10,477</w:t>
            </w:r>
          </w:p>
        </w:tc>
        <w:tc>
          <w:tcPr>
            <w:tcW w:w="0" w:type="dxa"/>
            <w:vAlign w:val="bottom"/>
          </w:tcPr>
          <w:p>
            <w:pPr>
              <w:spacing w:after="0"/>
              <w:rPr>
                <w:sz w:val="1"/>
                <w:szCs w:val="1"/>
                <w:color w:val="auto"/>
              </w:rPr>
            </w:pPr>
          </w:p>
        </w:tc>
      </w:tr>
      <w:tr>
        <w:trPr>
          <w:trHeight w:val="216"/>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6,126</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12,891</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14,491</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dividend payable on Series A</w:t>
            </w:r>
          </w:p>
        </w:tc>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1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1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 basic</w:t>
            </w:r>
          </w:p>
        </w:tc>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68,350</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66,524</w:t>
            </w:r>
          </w:p>
        </w:tc>
        <w:tc>
          <w:tcPr>
            <w:tcW w:w="0" w:type="dxa"/>
            <w:vAlign w:val="bottom"/>
          </w:tcPr>
          <w:p>
            <w:pPr>
              <w:spacing w:after="0"/>
              <w:rPr>
                <w:sz w:val="1"/>
                <w:szCs w:val="1"/>
                <w:color w:val="auto"/>
              </w:rPr>
            </w:pPr>
          </w:p>
        </w:tc>
      </w:tr>
      <w:tr>
        <w:trPr>
          <w:trHeight w:val="194"/>
        </w:trPr>
        <w:tc>
          <w:tcPr>
            <w:tcW w:w="56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2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-3265170</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-2699385</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-2416810</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-1859280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-1576705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CARDIFF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2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Unrealized loss on securities available-</w:t>
            </w: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73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for-sale</w:t>
            </w:r>
          </w:p>
        </w:tc>
        <w:tc>
          <w:tcPr>
            <w:tcW w:w="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dividend payable on Series A</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attributable to common</w:t>
            </w:r>
          </w:p>
        </w:tc>
        <w:tc>
          <w:tcPr>
            <w:tcW w:w="1120" w:type="dxa"/>
            <w:vAlign w:val="bottom"/>
            <w:gridSpan w:val="2"/>
            <w:vMerge w:val="restart"/>
          </w:tcPr>
          <w:p>
            <w:pPr>
              <w:jc w:val="right"/>
              <w:ind w:right="96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260" w:type="dxa"/>
            <w:vAlign w:val="bottom"/>
            <w:gridSpan w:val="2"/>
            <w:vMerge w:val="restart"/>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0" w:type="dxa"/>
            <w:vAlign w:val="bottom"/>
          </w:tcPr>
          <w:p>
            <w:pPr>
              <w:spacing w:after="0"/>
              <w:rPr>
                <w:sz w:val="1"/>
                <w:szCs w:val="1"/>
                <w:color w:val="auto"/>
              </w:rPr>
            </w:pPr>
          </w:p>
        </w:tc>
      </w:tr>
      <w:tr>
        <w:trPr>
          <w:trHeight w:val="194"/>
        </w:trPr>
        <w:tc>
          <w:tcPr>
            <w:tcW w:w="73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stockholders</w:t>
            </w:r>
          </w:p>
        </w:tc>
        <w:tc>
          <w:tcPr>
            <w:tcW w:w="11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-967740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CARDIFF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2500" w:type="dxa"/>
            <w:vAlign w:val="bottom"/>
          </w:tcPr>
          <w:p>
            <w:pPr>
              <w:spacing w:after="0"/>
              <w:rPr>
                <w:sz w:val="11"/>
                <w:szCs w:val="11"/>
                <w:color w:val="auto"/>
              </w:rPr>
            </w:pPr>
          </w:p>
        </w:tc>
        <w:tc>
          <w:tcPr>
            <w:tcW w:w="100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59"/>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20" w:type="dxa"/>
            <w:vAlign w:val="bottom"/>
          </w:tcPr>
          <w:p>
            <w:pPr>
              <w:spacing w:after="0"/>
              <w:rPr>
                <w:sz w:val="11"/>
                <w:szCs w:val="11"/>
                <w:color w:val="auto"/>
              </w:rPr>
            </w:pPr>
          </w:p>
        </w:tc>
        <w:tc>
          <w:tcPr>
            <w:tcW w:w="98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59"/>
              <w:spacing w:after="0" w:line="135" w:lineRule="exact"/>
              <w:rPr>
                <w:sz w:val="20"/>
                <w:szCs w:val="20"/>
                <w:color w:val="auto"/>
              </w:rPr>
            </w:pPr>
            <w:r>
              <w:rPr>
                <w:rFonts w:ascii="Times New Roman" w:cs="Times New Roman" w:eastAsia="Times New Roman" w:hAnsi="Times New Roman"/>
                <w:sz w:val="13"/>
                <w:szCs w:val="13"/>
                <w:b w:val="1"/>
                <w:bCs w:val="1"/>
                <w:color w:val="auto"/>
                <w:w w:val="91"/>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141"/>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1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500" w:type="dxa"/>
            <w:vAlign w:val="bottom"/>
          </w:tcPr>
          <w:p>
            <w:pPr>
              <w:spacing w:after="0"/>
              <w:rPr>
                <w:sz w:val="11"/>
                <w:szCs w:val="11"/>
                <w:color w:val="auto"/>
              </w:rPr>
            </w:pPr>
          </w:p>
        </w:tc>
        <w:tc>
          <w:tcPr>
            <w:tcW w:w="1000" w:type="dxa"/>
            <w:vAlign w:val="bottom"/>
          </w:tcPr>
          <w:p>
            <w:pPr>
              <w:jc w:val="center"/>
              <w:ind w:right="5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98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1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141"/>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19"/>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55"/>
        </w:trPr>
        <w:tc>
          <w:tcPr>
            <w:tcW w:w="2500" w:type="dxa"/>
            <w:vAlign w:val="bottom"/>
          </w:tcPr>
          <w:p>
            <w:pPr>
              <w:spacing w:after="0"/>
              <w:rPr>
                <w:sz w:val="13"/>
                <w:szCs w:val="13"/>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3"/>
                <w:szCs w:val="13"/>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210"/>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68,305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475,361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(430,030)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45,388</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1,660</w:t>
            </w:r>
          </w:p>
        </w:tc>
      </w:tr>
      <w:tr>
        <w:trPr>
          <w:trHeight w:val="198"/>
        </w:trPr>
        <w:tc>
          <w:tcPr>
            <w:tcW w:w="2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34"/>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2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w:t>
            </w: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68,370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477,126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34,709</w:t>
            </w:r>
          </w:p>
        </w:tc>
      </w:tr>
      <w:tr>
        <w:trPr>
          <w:trHeight w:val="20"/>
        </w:trPr>
        <w:tc>
          <w:tcPr>
            <w:tcW w:w="2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-153670</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-153670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-153670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-153670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-153670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-153670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-153670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CARDIFF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2500" w:type="dxa"/>
            <w:vAlign w:val="bottom"/>
          </w:tcPr>
          <w:p>
            <w:pPr>
              <w:spacing w:after="0"/>
              <w:rPr>
                <w:sz w:val="11"/>
                <w:szCs w:val="11"/>
                <w:color w:val="auto"/>
              </w:rPr>
            </w:pPr>
          </w:p>
        </w:tc>
        <w:tc>
          <w:tcPr>
            <w:tcW w:w="100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59"/>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20" w:type="dxa"/>
            <w:vAlign w:val="bottom"/>
          </w:tcPr>
          <w:p>
            <w:pPr>
              <w:spacing w:after="0"/>
              <w:rPr>
                <w:sz w:val="11"/>
                <w:szCs w:val="11"/>
                <w:color w:val="auto"/>
              </w:rPr>
            </w:pPr>
          </w:p>
        </w:tc>
        <w:tc>
          <w:tcPr>
            <w:tcW w:w="98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59"/>
              <w:spacing w:after="0" w:line="135" w:lineRule="exact"/>
              <w:rPr>
                <w:sz w:val="20"/>
                <w:szCs w:val="20"/>
                <w:color w:val="auto"/>
              </w:rPr>
            </w:pPr>
            <w:r>
              <w:rPr>
                <w:rFonts w:ascii="Times New Roman" w:cs="Times New Roman" w:eastAsia="Times New Roman" w:hAnsi="Times New Roman"/>
                <w:sz w:val="13"/>
                <w:szCs w:val="13"/>
                <w:b w:val="1"/>
                <w:bCs w:val="1"/>
                <w:color w:val="auto"/>
                <w:w w:val="91"/>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141"/>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1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500" w:type="dxa"/>
            <w:vAlign w:val="bottom"/>
          </w:tcPr>
          <w:p>
            <w:pPr>
              <w:spacing w:after="0"/>
              <w:rPr>
                <w:sz w:val="11"/>
                <w:szCs w:val="11"/>
                <w:color w:val="auto"/>
              </w:rPr>
            </w:pPr>
          </w:p>
        </w:tc>
        <w:tc>
          <w:tcPr>
            <w:tcW w:w="1000" w:type="dxa"/>
            <w:vAlign w:val="bottom"/>
          </w:tcPr>
          <w:p>
            <w:pPr>
              <w:jc w:val="center"/>
              <w:ind w:right="5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98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1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141"/>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19"/>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55"/>
        </w:trPr>
        <w:tc>
          <w:tcPr>
            <w:tcW w:w="2500" w:type="dxa"/>
            <w:vAlign w:val="bottom"/>
          </w:tcPr>
          <w:p>
            <w:pPr>
              <w:spacing w:after="0"/>
              <w:rPr>
                <w:sz w:val="13"/>
                <w:szCs w:val="13"/>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3"/>
                <w:szCs w:val="13"/>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rPr>
              <w:t>Gain</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210"/>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66,524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467,087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(384,179)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82,949</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1,365</w:t>
            </w:r>
          </w:p>
        </w:tc>
      </w:tr>
      <w:tr>
        <w:trPr>
          <w:trHeight w:val="198"/>
        </w:trPr>
        <w:tc>
          <w:tcPr>
            <w:tcW w:w="2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34"/>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(13,434)</w:t>
            </w: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66,526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468,455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70,876</w:t>
            </w:r>
          </w:p>
        </w:tc>
      </w:tr>
      <w:tr>
        <w:trPr>
          <w:trHeight w:val="20"/>
        </w:trPr>
        <w:tc>
          <w:tcPr>
            <w:tcW w:w="2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-153670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-153670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-153670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-153670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-153670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-153670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-153670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CARDIFF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2"/>
                <w:szCs w:val="12"/>
                <w:color w:val="auto"/>
              </w:rPr>
            </w:pPr>
          </w:p>
        </w:tc>
        <w:tc>
          <w:tcPr>
            <w:tcW w:w="11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2"/>
                <w:szCs w:val="12"/>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8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1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1,660</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of discounts on short-term investments, net</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and unbilled receivable</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(12,794)</w:t>
            </w:r>
          </w:p>
        </w:tc>
      </w:tr>
      <w:tr>
        <w:trPr>
          <w:trHeight w:val="209"/>
        </w:trPr>
        <w:tc>
          <w:tcPr>
            <w:tcW w:w="65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15,826</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21,228</w:t>
            </w:r>
          </w:p>
        </w:tc>
      </w:tr>
      <w:tr>
        <w:trPr>
          <w:trHeight w:val="216"/>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(35,812)</w:t>
            </w:r>
          </w:p>
        </w:tc>
      </w:tr>
      <w:tr>
        <w:trPr>
          <w:trHeight w:val="209"/>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3,257</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(14,584)</w:t>
            </w:r>
          </w:p>
        </w:tc>
      </w:tr>
      <w:tr>
        <w:trPr>
          <w:trHeight w:val="210"/>
        </w:trPr>
        <w:tc>
          <w:tcPr>
            <w:tcW w:w="6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(27,375)</w:t>
            </w:r>
          </w:p>
        </w:tc>
      </w:tr>
      <w:tr>
        <w:trPr>
          <w:trHeight w:val="216"/>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17,470</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51,470</w:t>
            </w: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22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8,544</w:t>
            </w:r>
          </w:p>
        </w:tc>
        <w:tc>
          <w:tcPr>
            <w:tcW w:w="11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24,095</w:t>
            </w:r>
          </w:p>
        </w:tc>
      </w:tr>
      <w:tr>
        <w:trPr>
          <w:trHeight w:val="20"/>
        </w:trPr>
        <w:tc>
          <w:tcPr>
            <w:tcW w:w="6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of cash flow activity:</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98"/>
        </w:trPr>
        <w:tc>
          <w:tcPr>
            <w:tcW w:w="65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Purchases of unsettled short-term investments included in</w:t>
            </w:r>
          </w:p>
        </w:tc>
        <w:tc>
          <w:tcPr>
            <w:tcW w:w="1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34"/>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22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-2553970</wp:posOffset>
            </wp:positionV>
            <wp:extent cx="102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-1863725</wp:posOffset>
            </wp:positionV>
            <wp:extent cx="12827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-1139190</wp:posOffset>
            </wp:positionV>
            <wp:extent cx="102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-856615</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CARDIFF ONCOLOGY,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Organization and Overview</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Cardiff Oncology, Inc. (“Cardiff Oncology” or the “Company”) headquartered in San Diego, California, is a clinical-stage biotechnology company advancing innovative cancer treatments focused on Polo-like Kinase 1 (“PLK1”) inhibition, a validated oncology target with practice-changing potential. The Company’s lead asset, onvansertib, is a highly specific, oral PLK1 inhibitor currently being evaluated in a Phase 2 trial for first-line treatment of RAS-mutated metastatic colorectal cancer (“mCRC”), addressing a large, underserved patient population with high unmet need. Onvansertib is also under investigation in other PLK1-driven cancers through investigator-initiated trials such as metastatic pancreatic ductal adenocarcinoma (“mPDAC”), small cell lung cancer (“SCLC”), metastatic triple negative breast cancer (“mTNBC”), and chronic myelomonocytic leukemia ("CMML"). These programs and the Company’s broader development strategy are designed to target tumor vulnerabilities in order to overcome treatment resistance and deliver improved clinical outcomes for patients. The Company's common stock is listed on the Nasdaq Capital Market under the ticker symbol "CRDF".</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financial statements of Cardiff Oncology have been prepared in accordance with accounting principles generally accepted in the United States of America (“GAAP”) and the rules and regulations of the Securities and Exchange Commission (“SEC”) related to a quarterly report on Form 10-Q. Certain information and note disclosures normally included in annual financial statements prepared in accordance with GAAP have been condensed or omitted pursuant to those rules and regulations. The unaudited interim condensed financial statements reflect all adjustments consisting of normal recurring adjustments which, in the opinion of management, are necessary for a fair statement of the Company’s financial position and the results of its operations and cash flows for the periods presented. The unaudited condensed balance sheet at December 31, 2025, has been derived from the audited financial statements at that date but does not include all of the information and disclosures required by GAAP for annual financial statements. The operating results presented in these unaudited interim condensed financial statements are not necessarily indicative of the results that may be expected for any future periods. These unaudited interim condensed financial statements should be read in conjunction with the audited financial statements and the notes thereto for the year ended December 31, 2025, included in the Company’s annual report on Form 10-K filed with the SEC on February 24,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Uncertainty</w:t>
      </w:r>
    </w:p>
    <w:p>
      <w:pPr>
        <w:spacing w:after="0" w:line="119"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since its inception and has negative operating cash flows. As of March 31, 2026, the Company had $46.1 million in cash, cash equivalents and short-term investments, which is not sufficient to meet its funding requirements for at least the next 12 months following the filing of this form 10-Q. Management has performed an analysis and concluded that there exists a substantial doubt about the Company's ability to continue as a going concern. The accompanying financial statements have been prepared on a going concern basis, which contemplates the realization of assets and satisfaction of liabilities in the normal course of business. The financial statements do not include any adjustments related to the recoverability and classification of recorded asset amounts or the amounts and classification of liabilities that might result from the outcome of this uncertainty.</w:t>
      </w:r>
    </w:p>
    <w:p>
      <w:pPr>
        <w:spacing w:after="0" w:line="18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upon its ability to obtain additional equity or debt financing, obtain government grants or reduce expenditures. The Company cannot be certain that additional funding will be available on acceptable terms, or at all. To the extent that the Company can raise additional funds by issuing equity securities, the Company’s stockholders may experience additional dilution.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have been no changes to the Company’s significant accounting policies as described in its Annual Report on Form 10-K for the fiscal year ended December 31,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operates in one business segment in the United States, which includes all activities related to the development of novel therapies across a range of cancers. The Company's chief operating decision-maker is its chief executive officer. The chief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operating decision-maker allocates resources based on available cash, cash equivalents and short-term investments. The primary measure of performance reviewed by the chief operating decision-maker is net loss which is compared to the annual budget and quarterly forecasts.</w:t>
      </w:r>
    </w:p>
    <w:p>
      <w:pPr>
        <w:spacing w:after="0" w:line="54" w:lineRule="exact"/>
        <w:rPr>
          <w:sz w:val="20"/>
          <w:szCs w:val="20"/>
          <w:color w:val="auto"/>
        </w:rPr>
      </w:pPr>
    </w:p>
    <w:p>
      <w:pPr>
        <w:ind w:right="380" w:firstLine="554"/>
        <w:spacing w:after="0" w:line="282" w:lineRule="auto"/>
        <w:rPr>
          <w:sz w:val="20"/>
          <w:szCs w:val="20"/>
          <w:color w:val="auto"/>
        </w:rPr>
      </w:pPr>
      <w:r>
        <w:rPr>
          <w:rFonts w:ascii="Times New Roman" w:cs="Times New Roman" w:eastAsia="Times New Roman" w:hAnsi="Times New Roman"/>
          <w:sz w:val="18"/>
          <w:szCs w:val="18"/>
          <w:color w:val="auto"/>
        </w:rPr>
        <w:t>All financial information required for segment reporting that is provided to the chief operating decision-maker is contained within the financial statements and notes to financial statements, with the exception of the disaggregated amounts contained in the table below:</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Salaries and staff costs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1,744</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Clinical trials, outside services, and lab supplies</w:t>
            </w:r>
          </w:p>
        </w:tc>
        <w:tc>
          <w:tcPr>
            <w:tcW w:w="36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4,260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Facilities and other</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0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6,765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10,477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Salaries and staff costs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2,929</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Outside services and professional fees</w:t>
            </w:r>
          </w:p>
        </w:tc>
        <w:tc>
          <w:tcPr>
            <w:tcW w:w="36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Facilities and other</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0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6,126</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-1028065</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Basic and diluted net loss per common share is determined by dividing net loss attributable to common stockholders by the weighted-average common shares outstanding during the period. Preferred dividends are included in net loss attributable to common stockholders in the computation of basic and diluted earnings per share. For all periods presented, there is no difference in the number of shares used to calculate basic and diluted shares outstanding as inclusion of the potentially dilutive securities would be antidilutive.</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because their effect was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26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72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10,929,508</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10,823,072</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2,807,353</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877</w:t>
            </w:r>
          </w:p>
        </w:tc>
      </w:tr>
      <w:tr>
        <w:trPr>
          <w:trHeight w:val="209"/>
        </w:trPr>
        <w:tc>
          <w:tcPr>
            <w:tcW w:w="7680" w:type="dxa"/>
            <w:vAlign w:val="bottom"/>
          </w:tcPr>
          <w:p>
            <w:pPr>
              <w:spacing w:after="0"/>
              <w:rPr>
                <w:sz w:val="18"/>
                <w:szCs w:val="18"/>
                <w:color w:val="auto"/>
              </w:rPr>
            </w:pPr>
          </w:p>
        </w:tc>
        <w:tc>
          <w:tcPr>
            <w:tcW w:w="1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10,930,817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13,631,302</w:t>
            </w:r>
          </w:p>
        </w:tc>
      </w:tr>
      <w:tr>
        <w:trPr>
          <w:trHeight w:val="20"/>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Investment transactions are recorded on the trade date, and purchases of investments that are settled after the balance sheet date are included in accrued liabilities. 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Investments with contractual maturities beyond one year are also classified as short-term due to the Company’s ability to liquidate the investment for use in operations within the next 12 months.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Realized gains and losses on investment securities are included in earnings and are derived using the specific identification method for determining the cost of securities sold. The Company has not realized any significant gains or losses on sales of available-for-sale investment securities during any of the periods presented. As all the Company’s investment holdings are in the form of debt securities or certificates of deposit, unrealized gains and losses that are determined to be temporary in nature are reported as a component of accumulated other comprehensive loss. A decline in the fair value of any security below cost that is deemed other than temporary results in a charge to earnings and the establishment of a new cost basis for the security. Interest income is recognized when earned and is included in interest income, net, as are the amortization of purchase premiums and accretion of purchase discounts on investment securities.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 Not Yet Adopted</w:t>
      </w:r>
    </w:p>
    <w:p>
      <w:pPr>
        <w:spacing w:after="0" w:line="22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 The amendments in this update are effective for public entities for annual periods beginning after December 15, 2026, and interim periods beginning after December 15, 2027. The amendments may be adopted either prospectively or retrospectively. Early adoption is permitted. The Company is currently evaluating the impact of this guidance on its financial statement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assets and liabilities that are measured and recognized at fair value on a recurring basis classified under the appropriate level of the fair value hierarchy as of March 31, 2026, and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gridSpan w:val="2"/>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gridSpan w:val="2"/>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Assets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8,359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8,359</w:t>
            </w:r>
          </w:p>
        </w:tc>
        <w:tc>
          <w:tcPr>
            <w:tcW w:w="0" w:type="dxa"/>
            <w:vAlign w:val="bottom"/>
          </w:tcPr>
          <w:p>
            <w:pPr>
              <w:spacing w:after="0"/>
              <w:rPr>
                <w:sz w:val="1"/>
                <w:szCs w:val="1"/>
                <w:color w:val="auto"/>
              </w:rPr>
            </w:pPr>
          </w:p>
        </w:tc>
      </w:tr>
      <w:tr>
        <w:trPr>
          <w:trHeight w:val="209"/>
        </w:trPr>
        <w:tc>
          <w:tcPr>
            <w:tcW w:w="49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included in cash and cash equivalents</w:t>
            </w:r>
          </w:p>
        </w:tc>
        <w:tc>
          <w:tcPr>
            <w:tcW w:w="9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8,359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8,359</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for sale investments: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deposit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22,487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22,487</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agencies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10,870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10,870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available for sale investments</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10,870</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26,642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37,512</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19,229</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26,642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45,871</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gridSpan w:val="2"/>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gridSpan w:val="2"/>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Assets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17,169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17,169</w:t>
            </w:r>
          </w:p>
        </w:tc>
        <w:tc>
          <w:tcPr>
            <w:tcW w:w="0" w:type="dxa"/>
            <w:vAlign w:val="bottom"/>
          </w:tcPr>
          <w:p>
            <w:pPr>
              <w:spacing w:after="0"/>
              <w:rPr>
                <w:sz w:val="1"/>
                <w:szCs w:val="1"/>
                <w:color w:val="auto"/>
              </w:rPr>
            </w:pPr>
          </w:p>
        </w:tc>
      </w:tr>
      <w:tr>
        <w:trPr>
          <w:trHeight w:val="209"/>
        </w:trPr>
        <w:tc>
          <w:tcPr>
            <w:tcW w:w="49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included in cash and cash equivalents</w:t>
            </w:r>
          </w:p>
        </w:tc>
        <w:tc>
          <w:tcPr>
            <w:tcW w:w="9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17,169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17,169</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for sale investments: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deposit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28,669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28,669</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agencies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8,733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8,733</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available for sale investments</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8,733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32,101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40,834</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25,902</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32,101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58,003</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4518660</wp:posOffset>
            </wp:positionH>
            <wp:positionV relativeFrom="paragraph">
              <wp:posOffset>-4349750</wp:posOffset>
            </wp:positionV>
            <wp:extent cx="11112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-4349750</wp:posOffset>
            </wp:positionV>
            <wp:extent cx="10223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-4349750</wp:posOffset>
            </wp:positionV>
            <wp:extent cx="10287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-3076575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-3076575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-3076575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-2785110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-2767965</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-2785110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-2767965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-2785110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-2767965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-1589405</wp:posOffset>
            </wp:positionV>
            <wp:extent cx="111125"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-1589405</wp:posOffset>
            </wp:positionV>
            <wp:extent cx="102235"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-1589405</wp:posOffset>
            </wp:positionV>
            <wp:extent cx="10287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-316230</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-316230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-316230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transfers between levels of the fair value hierarchy on the date of the event or change in circumstances that caused the transfer. There were no transfers into or out of Level 3 during the three months ended March 31,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Supplementary Balance Sheet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available for sale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available for sale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Pr>
          <w:p>
            <w:pPr>
              <w:spacing w:after="0"/>
              <w:rPr>
                <w:sz w:val="10"/>
                <w:szCs w:val="10"/>
                <w:color w:val="auto"/>
              </w:rPr>
            </w:pPr>
          </w:p>
        </w:tc>
        <w:tc>
          <w:tcPr>
            <w:tcW w:w="12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Maturity less than 1 year:</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deposit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698</w:t>
            </w:r>
          </w:p>
        </w:tc>
        <w:tc>
          <w:tcPr>
            <w:tcW w:w="36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13,196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13,189</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6,553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6,552</w:t>
            </w: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maturity less than 1 year</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23,904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23,896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Maturity 1 to 2 years: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9,328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9,298</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4,329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maturity 1 to 2 years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13,657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13,616</w:t>
            </w:r>
          </w:p>
        </w:tc>
        <w:tc>
          <w:tcPr>
            <w:tcW w:w="0" w:type="dxa"/>
            <w:vAlign w:val="bottom"/>
          </w:tcPr>
          <w:p>
            <w:pPr>
              <w:spacing w:after="0"/>
              <w:rPr>
                <w:sz w:val="1"/>
                <w:szCs w:val="1"/>
                <w:color w:val="auto"/>
              </w:rPr>
            </w:pPr>
          </w:p>
        </w:tc>
      </w:tr>
      <w:tr>
        <w:trPr>
          <w:trHeight w:val="216"/>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 w:type="dxa"/>
            <w:vAlign w:val="bottom"/>
            <w:vMerge w:val="restart"/>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vMerge w:val="restart"/>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37,561</w:t>
            </w:r>
          </w:p>
        </w:tc>
        <w:tc>
          <w:tcPr>
            <w:tcW w:w="14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vMerge w:val="continue"/>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37,512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Pr>
          <w:p>
            <w:pPr>
              <w:spacing w:after="0"/>
              <w:rPr>
                <w:sz w:val="10"/>
                <w:szCs w:val="10"/>
                <w:color w:val="auto"/>
              </w:rPr>
            </w:pPr>
          </w:p>
        </w:tc>
        <w:tc>
          <w:tcPr>
            <w:tcW w:w="12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Maturity less than 1 year:</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deposit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143</w:t>
            </w:r>
          </w:p>
        </w:tc>
        <w:tc>
          <w:tcPr>
            <w:tcW w:w="36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23,699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23,715</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4,798</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maturity less than 1 year</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31,925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31,947</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Maturity 1 to 2 years: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4,940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maturity 1 to 2 years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8,859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8,887</w:t>
            </w:r>
          </w:p>
        </w:tc>
        <w:tc>
          <w:tcPr>
            <w:tcW w:w="0" w:type="dxa"/>
            <w:vAlign w:val="bottom"/>
          </w:tcPr>
          <w:p>
            <w:pPr>
              <w:spacing w:after="0"/>
              <w:rPr>
                <w:sz w:val="1"/>
                <w:szCs w:val="1"/>
                <w:color w:val="auto"/>
              </w:rPr>
            </w:pPr>
          </w:p>
        </w:tc>
      </w:tr>
      <w:tr>
        <w:trPr>
          <w:trHeight w:val="216"/>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 w:type="dxa"/>
            <w:vAlign w:val="bottom"/>
            <w:vMerge w:val="restart"/>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vMerge w:val="restart"/>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40,784</w:t>
            </w:r>
          </w:p>
        </w:tc>
        <w:tc>
          <w:tcPr>
            <w:tcW w:w="14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vMerge w:val="continue"/>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40,834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periodically reviews its portfolio of debt securities to determine if any investment is impaired due to credit loss or other potential valuation concerns. For debt securities where the fair value of the investment is less than the amortized cost basis, we have assessed at the individual security level for various quantitative factors including, but not limited to, the nature of the investments, changes in credit ratings, interest rate fluctuations, industry analyst reports, and the severity of impairment. Unrealized losses in investments available for sale debt securities at March 31, 2026, were substantially due to changes in interest rates, not due to increased credit risks associated with specific securities. Accordingly, the Company has not recorded an allowance for credit losses. It is not more likely than not that we will be required to sell the investments before recovery of their amortized cost bases, which may be at maturity.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unrealized loss positions greater than one year as of March 31, 2026 and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6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1,051</w:t>
            </w:r>
          </w:p>
        </w:tc>
        <w:tc>
          <w:tcPr>
            <w:tcW w:w="8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2,568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1,426</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5,045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5,045</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Depreciation expense for property and equipment recognized in operating results are as follows: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521"/>
        </w:trPr>
        <w:tc>
          <w:tcPr>
            <w:tcW w:w="6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4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Unsettled investments payable</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Research agreements and services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6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8,337</w:t>
            </w:r>
          </w:p>
        </w:tc>
        <w:tc>
          <w:tcPr>
            <w:tcW w:w="8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7,577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-3110865</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-2828290</wp:posOffset>
            </wp:positionV>
            <wp:extent cx="111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-1765300</wp:posOffset>
            </wp:positionV>
            <wp:extent cx="128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-1748155</wp:posOffset>
            </wp:positionV>
            <wp:extent cx="1289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1117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related to Cardiff Oncology equity awards have been recognized in operating results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5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research and development expense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319</w:t>
            </w:r>
          </w:p>
        </w:tc>
        <w:tc>
          <w:tcPr>
            <w:tcW w:w="102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Included in selling, general and administrative expense</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1289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28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1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unrecognized compensation cost related to non-vested stock options outstanding at March 31, 2026, net of estimated forfeitures, was $6.0 million, which is expected to be recognized over a weighted-average remaining vesting period of 2.7 years. The weighted-average remaining contractual term of outstanding options as of March 31, 2026, was approximately 6.6 years. The total fair value of stock options vested during the three months ended March 31, 2026 and 2025, were $2.2 million and $2.1 million,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estimated fair value of stock option awards was determined on the date of grant using the Black-Scholes option valuation model with the following assumptions during the following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3680" w:type="dxa"/>
            <w:vAlign w:val="bottom"/>
            <w:tcBorders>
              <w:bottom w:val="single" w:sz="8" w:color="auto"/>
            </w:tcBorders>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60" w:type="dxa"/>
            <w:vAlign w:val="bottom"/>
          </w:tcPr>
          <w:p>
            <w:pPr>
              <w:spacing w:after="0"/>
              <w:rPr>
                <w:sz w:val="12"/>
                <w:szCs w:val="12"/>
                <w:color w:val="auto"/>
              </w:rPr>
            </w:pPr>
          </w:p>
        </w:tc>
        <w:tc>
          <w:tcPr>
            <w:tcW w:w="1780" w:type="dxa"/>
            <w:vAlign w:val="bottom"/>
            <w:tcBorders>
              <w:bottom w:val="single" w:sz="8" w:color="auto"/>
            </w:tcBorders>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780" w:type="dxa"/>
            <w:vAlign w:val="bottom"/>
            <w:tcBorders>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3.67% - 3.97%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101% - 102%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5.9</w:t>
            </w:r>
          </w:p>
        </w:tc>
        <w:tc>
          <w:tcPr>
            <w:tcW w:w="1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6.1</w:t>
            </w:r>
          </w:p>
        </w:tc>
      </w:tr>
    </w:tbl>
    <w:p>
      <w:pPr>
        <w:spacing w:after="0" w:line="1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per share of all options granted during the three months ended March 31, 2026 and 2025, estimated as of the grant date using the Black-Scholes option valuation model, was $1.29 and $2.99 per share, respectively.</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and changes in stock options outstanding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6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outstanding, December 31, 2025</w:t>
            </w:r>
          </w:p>
        </w:tc>
        <w:tc>
          <w:tcPr>
            <w:tcW w:w="1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10,757,293</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3.87</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2,678,115</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(645,472)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(117,552)</w:t>
            </w:r>
          </w:p>
        </w:tc>
        <w:tc>
          <w:tcPr>
            <w:tcW w:w="2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Balance outstanding, March 31, 2026</w:t>
            </w:r>
          </w:p>
        </w:tc>
        <w:tc>
          <w:tcPr>
            <w:tcW w:w="1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10,929,508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3.60</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58,756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6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6,854,799</w:t>
            </w:r>
          </w:p>
        </w:tc>
        <w:tc>
          <w:tcPr>
            <w:tcW w:w="28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3.99</w:t>
            </w:r>
          </w:p>
        </w:tc>
        <w:tc>
          <w:tcPr>
            <w:tcW w:w="440" w:type="dxa"/>
            <w:vAlign w:val="bottom"/>
            <w:tcBorders>
              <w:bottom w:val="single" w:sz="8" w:color="CFF0FC"/>
            </w:tcBorders>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39,223</w:t>
            </w:r>
          </w:p>
        </w:tc>
        <w:tc>
          <w:tcPr>
            <w:tcW w:w="0" w:type="dxa"/>
            <w:vAlign w:val="bottom"/>
          </w:tcPr>
          <w:p>
            <w:pPr>
              <w:spacing w:after="0"/>
              <w:rPr>
                <w:sz w:val="1"/>
                <w:szCs w:val="1"/>
                <w:color w:val="auto"/>
              </w:rPr>
            </w:pPr>
          </w:p>
        </w:tc>
      </w:tr>
      <w:tr>
        <w:trPr>
          <w:trHeight w:val="197"/>
        </w:trPr>
        <w:tc>
          <w:tcPr>
            <w:tcW w:w="6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60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10,687,453</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3.63</w:t>
            </w:r>
          </w:p>
        </w:tc>
        <w:tc>
          <w:tcPr>
            <w:tcW w:w="4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57,081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-496570</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June 2021, the Company's stockholders approved the 2021 Omnibus Equity Incentive Plan ("2021 Plan"). As of March 31, 2026, the number of authorized shares in the 2021 Plan is equal to the sum of (i) 12,150,000 shares, plus (ii) the number of shares of Common Stock reserved, but unissued under the 2014 Plan; and (iii) the number of shares of Common Stock underlying forfeited awards under the 2014 Plan. As of March 31, 2026, there were 4,613,468 shares available for issuance under the 2021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Equity Incentive Plan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Subsequent to the adoption of the 2021 Plan, no additional equity awards can be made under the terms of the 2014 Plan.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Grants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issues equity awards to certain new employees as inducement grants outside of its 2021 Plan. As of March 31, 2026, an aggregate of 1,515,216 shares were issuable upon the exercise of inducement grant stock options approved by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Modifications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recorded $0.5 million of additional stock based compensation expense during the three months ended March 31, 2026 from stock option modifications. These modifications were the result of separation agreements entered into with Dr. Mark Erlander, former CEO, and James Levine, former CFO, on March 27, 2026 ("Agreement Date"). The modification date and valuation inputs were based on the Agreement Date. Dr. Erlander's stock options will continue to vest through June 11, 2026, and all vested options will be exercisable until June 11, 2027. Mr. Levine's vested stock options will be exercisable until March 27, 2027. All of the additional stock based compensation expense from these modifications was recorded during the three months ended March 31,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warrant activity and changes in warrants outstanding, classified as equity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4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Warrants</w:t>
            </w:r>
          </w:p>
        </w:tc>
        <w:tc>
          <w:tcPr>
            <w:tcW w:w="140" w:type="dxa"/>
            <w:vAlign w:val="bottom"/>
          </w:tcPr>
          <w:p>
            <w:pPr>
              <w:spacing w:after="0"/>
              <w:rPr>
                <w:sz w:val="12"/>
                <w:szCs w:val="12"/>
                <w:color w:val="auto"/>
              </w:rPr>
            </w:pPr>
          </w:p>
        </w:tc>
        <w:tc>
          <w:tcPr>
            <w:tcW w:w="1420" w:type="dxa"/>
            <w:vAlign w:val="bottom"/>
            <w:gridSpan w:val="2"/>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outstanding, December 31, 2025</w:t>
            </w: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432</w:t>
            </w:r>
          </w:p>
        </w:tc>
        <w:tc>
          <w:tcPr>
            <w:tcW w:w="4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348.48</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8"/>
              </w:rPr>
              <w:t>0.6 years</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Balance outstanding, March 31, 2026</w:t>
            </w:r>
          </w:p>
        </w:tc>
        <w:tc>
          <w:tcPr>
            <w:tcW w:w="1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432</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348.48</w:t>
            </w:r>
          </w:p>
        </w:tc>
        <w:tc>
          <w:tcPr>
            <w:tcW w:w="14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0.3 years</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executive agreements provide for severance payments in case of terminations without cause or certain change of control scenarios.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Agreements</w:t>
      </w:r>
    </w:p>
    <w:p>
      <w:pPr>
        <w:spacing w:after="0" w:line="119" w:lineRule="exact"/>
        <w:rPr>
          <w:sz w:val="20"/>
          <w:szCs w:val="20"/>
          <w:color w:val="auto"/>
        </w:rPr>
      </w:pPr>
    </w:p>
    <w:p>
      <w:pPr>
        <w:ind w:right="420" w:firstLine="509"/>
        <w:spacing w:after="0" w:line="256" w:lineRule="auto"/>
        <w:rPr>
          <w:sz w:val="20"/>
          <w:szCs w:val="20"/>
          <w:color w:val="auto"/>
        </w:rPr>
      </w:pPr>
      <w:r>
        <w:rPr>
          <w:rFonts w:ascii="Times New Roman" w:cs="Times New Roman" w:eastAsia="Times New Roman" w:hAnsi="Times New Roman"/>
          <w:sz w:val="18"/>
          <w:szCs w:val="18"/>
          <w:color w:val="auto"/>
        </w:rPr>
        <w:t>In March 2017, the Company entered into a license agreement with Nerviano which granted the Company development and commercialization rights to NMS-1286937, which the Company refers to as onvansertib. Terms of the agreement also provide for the Company to pay development milestones up to an aggregate of $15 million, commercial milestones, and royalties based on sales volume. These potential development milestones include: (a) dosing of the first subject in the first Phase III Clinical Trial for the first Product, a registration enabling Phase II Clinical Trial, or after completion of a Phase II Clinical Trial that is used as the basis for an NDA submission; and (b) upon filing of the first NDA or equivalent for the first product candidate. During the three months ended March 31, 2026, and 2025, no milestone or royalty payments were made.</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agreements under which it licenses technology on an exclusive basis in the field of oncology therapeutics. These agreements include License fees, Royalties and Milestone payments. For the three months ended March 31, 2026, and 2025, payments have not been material. The Company also has a legacy license agreement in the field of oncology diagnostics under which royalty payments are due to the Company. These royalty payments are calculated as a percent of revenue.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lawsuits and legal proceedings that arise in the ordinary course of business. Litigation is subject to inherent uncertainties, and an adverse result in matters may arise from time to time that may harm the Company’s business. As of the date of this report, management believes that there are no claims against the Company, which could result in a material adverse effect on the Company’s business or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disclosed on February 24, 2026, the Company received a written notice from Nerviano alleging that it is in material breach of the license agreement with respect to (i) alleged joint ownership of certain of Cardiff's U.S. patents nos. 12.144.813 and 12.263.173 (the “Cardiff Patents”) and (ii) the filing of a joint invention continuation patent application. The Company does not believe that there has been any breach of the license agreement and is currently engaged in discussions with Nerviano.</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claimed inventions of the Cardiff Patents were based on innovations from the Company’s TROV-054 study with claims that cover methods of using onvansertib in combination with bevacizumab for the treatment of metastatic colorectal cancer patients who have not previously been treated with bevacizumab. If the Company is unable to resolve the allegations, then the Company will be required to vigorously defend its rights under the license agreement. Furthermore, if the Company is unable to resolve the dispute with Nerviano, the license agreement may be terminated. This would have a material adverse effect on the Company’s business, financial condition, and results of operations, which cannot be reasonably estimated at this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18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business and financial performance may be affected by the factors that are discussed under “Risk Factors” in the Annual Report on Form 10-K for the year ended December 31, 2025, filed on February 24, 2026. Moreover, we operate in a very competitive and rapidly changing environment.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83"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is qualified in its entirety by, and should be read in conjunction with, the more detailed information set forth in the financial statements and the notes thereto appearing elsewhere in this Quarterly Report on Form 10-Q. This discussion should not be construed to imply that the results discussed herein will necessarily continue into the future, or that any conclusion reached herein will necessarily be indicative of actual operating results in the future. Such discussion represents only the best present assessment of our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advancing innovative cancer treatments focused on PLK1 inhibition, a validated oncology drug target with practice-changing potential. Our lead asset, onvansertib, is a highly specific, oral PLK1 inhibitor currently being evaluated in a Phase 2 trial for first-line treatment of RAS-mutated metastatic colorectal cancer ("mCRC"), addressing a large, underserved patient population with high unmet need. Onvansertib is also under investigation in other PLK1-driven cancers through investigator-initiated trials such as metastatic pancreatic ductal adenocarcinoma ("mPDAC"), small cell lung cancer ("SCLC"), and metastatic triple negative breast cancer ("mTNBC"). Additionally, onvansertib has also shown robust single agent activity in an investigator-initiated trial in chronic myelomonocytic leukemia ("CMML"). These programs and our broader development strategy are designed to target tumor vulnerabilities in order to overcome treatment resistance and deliver improved clinical outcomes in patients. Our clinical development programs incorporate tumor genomics and biomarker assays to refine patient selection and assessment of patient response to treatment.</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Lead Drug Candidate, Onvansertib</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believe the attributes of onvansertib and its early clinical evidence of favorable safety and efficacy, with expected on-target, manageable and tolerable side effects, may prove beneficial in addressing clinical therapeutic needs across a variety of cancers. Key attributes of onvansertib include:</w:t>
      </w:r>
    </w:p>
    <w:p>
      <w:pPr>
        <w:spacing w:after="0" w:line="7" w:lineRule="exact"/>
        <w:rPr>
          <w:sz w:val="20"/>
          <w:szCs w:val="20"/>
          <w:color w:val="auto"/>
        </w:rPr>
      </w:pPr>
    </w:p>
    <w:p>
      <w:pPr>
        <w:jc w:val="both"/>
        <w:ind w:left="1020" w:right="240" w:hanging="503"/>
        <w:spacing w:after="0" w:line="24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potent and highly selective against the PLK1 enzyme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 2nM;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is the concentration for 50% inhibition), compared to prior PLK1 inhibitors that were pan-inhibitors of several PLK targets. Low or no activity of onvansertib was observed on a panel of 63 kinases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&gt;500 nM), including the PLK members PLK2 and PLK3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&gt;10,000 nM);</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 bioavailable, allowing for relative ease and flexibility of dosing;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short drug half-life of 24 hours, allowing for flexible dosing and scheduling that has demonstrated a favorable safety profile across multiple clinical trials.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studies have shown synergistic effects when onvansertib was administered in combination with different cytotoxic agents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microtubule-targeting agents, topoisomerase 1 inhibitors, antimetabolites, alkylating agents, proteasome inhibitors, kinase inhibitors, PARP inhibitors, BCL-2 inhibitors, and androgen biosynthesis inhibitors.</w:t>
      </w:r>
    </w:p>
    <w:p>
      <w:pPr>
        <w:spacing w:after="0" w:line="17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addition,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combination studies have confirmed the positive results obtained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additive or synergistic effects on efficacy have been observed in xenograft models of onvansertib in combination with irinotecan, 5-fluorouracil ("5-FU"), abiraterone, PARP inhibitors, venetoclax, paclitaxel, or bevacizumab. Combining onvansertib with standard of care ("SoC") cancer agents may provide opportunities for synergy with many cancer therapies.</w:t>
      </w:r>
    </w:p>
    <w:p>
      <w:pPr>
        <w:spacing w:after="0" w:line="18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are several ongoing clinical trials of onvansertib in multiple indications: one trial (CRDF-004) in first-line treatment in patients with RAS-mutated mCRC, and investigator-initiated trials in first-line mPDAC, first-line CMML as monotherapy, second-line relapsed SCLC as monotherapy, and second-line unresectable locally advanced or metastatic TNBC.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RAS-mutated mCRC Program: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CRDF-004 Randomized Clinical Trial in First-Line RAS-mutated mCRC</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CRDF-004 is a Phase 2, randomized, open label multi-center clinical trial to assess the efficacy of two different doses of onvansertib (20mg and 30mg) in combination with FOLFIRI and bevacizumab or FOLFOX and bevacizumab, compared with FOLFIRI or FOLFOX and bevacizumab SoC alone, for the treatment of confirmed mCRC in patients with a KRAS or NRAS mutation in the first-line setting. Trial endpoints include objective response rate ("ORR"), progression-free survival ("PFS") and duration of response ("DoR") together with pharmacokinetics, pharmacodynamics and safety assessments. Selection of the recommended Phase 3 onvansertib dose will be based on a benefit-risk assessment of the totality of the evidence, including numerical differences between the onvansertib and SoC arms. The trial enrolled 110 patients in the intent-to-treat ("ITT") population and is conducted in partnership with Pfizer Ignite, an end-to-end service for biotech companies. For more information, please visit NCT06106308 at </w:t>
      </w:r>
      <w:r>
        <w:rPr>
          <w:rFonts w:ascii="Times New Roman" w:cs="Times New Roman" w:eastAsia="Times New Roman" w:hAnsi="Times New Roman"/>
          <w:sz w:val="18"/>
          <w:szCs w:val="18"/>
          <w:i w:val="1"/>
          <w:iCs w:val="1"/>
          <w:color w:val="auto"/>
        </w:rPr>
        <w:t>www.clinicialtrials.gov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Data provided in the press release dated January 27, 2026 included updated data from the ongoing CRDF-004 Phase 2 randomized clinical trial in first-line RAS-mutated mCRC. The 30 mg onvansertib + FOLFIRI/bev arm achieved a confirmed objective response rate (“ORR”) if 72.2% compared to 43.2% across the combined SoC arms. The 30 mg onvansertib dose in combination with FOLFIRI/bev also demonstrated marked improvement in progression-free survival (“PFS”) versus FOLFIRI/bev (HR: 0.38) and combined SoC of FOLFOX/bev and FOLFIRI/bev (HR: 0.37, p&lt;0.05), with no significant added toxicity observed. The results as of the data cut-off date of January 22, 2026,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SoC</w:t>
            </w:r>
            <w:r>
              <w:rPr>
                <w:rFonts w:ascii="Times New Roman" w:cs="Times New Roman" w:eastAsia="Times New Roman" w:hAnsi="Times New Roman"/>
                <w:sz w:val="19"/>
                <w:szCs w:val="19"/>
                <w:b w:val="1"/>
                <w:bCs w:val="1"/>
                <w:color w:val="auto"/>
                <w:vertAlign w:val="superscript"/>
              </w:rPr>
              <w:t>c</w:t>
            </w:r>
            <w:r>
              <w:rPr>
                <w:rFonts w:ascii="Times New Roman" w:cs="Times New Roman" w:eastAsia="Times New Roman" w:hAnsi="Times New Roman"/>
                <w:sz w:val="14"/>
                <w:szCs w:val="14"/>
                <w:b w:val="1"/>
                <w:bCs w:val="1"/>
                <w:color w:val="auto"/>
              </w:rPr>
              <w:t xml:space="preserve"> (FOLFIRI/bev+FOLFOX/bev)</w:t>
            </w:r>
          </w:p>
        </w:tc>
        <w:tc>
          <w:tcPr>
            <w:tcW w:w="17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SoC</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Onv 20 mg</w:t>
            </w:r>
          </w:p>
        </w:tc>
        <w:tc>
          <w:tcPr>
            <w:tcW w:w="198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Onv 30 mg</w:t>
            </w:r>
          </w:p>
        </w:tc>
        <w:tc>
          <w:tcPr>
            <w:tcW w:w="0" w:type="dxa"/>
            <w:vAlign w:val="bottom"/>
          </w:tcPr>
          <w:p>
            <w:pPr>
              <w:spacing w:after="0"/>
              <w:rPr>
                <w:sz w:val="1"/>
                <w:szCs w:val="1"/>
                <w:color w:val="auto"/>
              </w:rPr>
            </w:pPr>
          </w:p>
        </w:tc>
      </w:tr>
      <w:tr>
        <w:trPr>
          <w:trHeight w:val="160"/>
        </w:trPr>
        <w:tc>
          <w:tcPr>
            <w:tcW w:w="272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Parameter</w:t>
            </w:r>
          </w:p>
        </w:tc>
        <w:tc>
          <w:tcPr>
            <w:tcW w:w="2880" w:type="dxa"/>
            <w:vAlign w:val="bottom"/>
            <w:vMerge w:val="continue"/>
          </w:tcPr>
          <w:p>
            <w:pPr>
              <w:spacing w:after="0"/>
              <w:rPr>
                <w:sz w:val="13"/>
                <w:szCs w:val="13"/>
                <w:color w:val="auto"/>
              </w:rPr>
            </w:pPr>
          </w:p>
        </w:tc>
        <w:tc>
          <w:tcPr>
            <w:tcW w:w="178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FOLFIRI/bev</w:t>
            </w:r>
          </w:p>
        </w:tc>
        <w:tc>
          <w:tcPr>
            <w:tcW w:w="1880" w:type="dxa"/>
            <w:vAlign w:val="bottom"/>
          </w:tcPr>
          <w:p>
            <w:pPr>
              <w:jc w:val="center"/>
              <w:ind w:left="28"/>
              <w:spacing w:after="0" w:line="160" w:lineRule="exact"/>
              <w:rPr>
                <w:sz w:val="20"/>
                <w:szCs w:val="20"/>
                <w:color w:val="auto"/>
              </w:rPr>
            </w:pPr>
            <w:r>
              <w:rPr>
                <w:rFonts w:ascii="Times New Roman" w:cs="Times New Roman" w:eastAsia="Times New Roman" w:hAnsi="Times New Roman"/>
                <w:sz w:val="14"/>
                <w:szCs w:val="14"/>
                <w:b w:val="1"/>
                <w:bCs w:val="1"/>
                <w:color w:val="auto"/>
              </w:rPr>
              <w:t>+FOLFIRI/bev</w:t>
            </w:r>
          </w:p>
        </w:tc>
        <w:tc>
          <w:tcPr>
            <w:tcW w:w="1980" w:type="dxa"/>
            <w:vAlign w:val="bottom"/>
          </w:tcPr>
          <w:p>
            <w:pPr>
              <w:jc w:val="center"/>
              <w:ind w:left="51"/>
              <w:spacing w:after="0" w:line="160" w:lineRule="exact"/>
              <w:rPr>
                <w:sz w:val="20"/>
                <w:szCs w:val="20"/>
                <w:color w:val="auto"/>
              </w:rPr>
            </w:pPr>
            <w:r>
              <w:rPr>
                <w:rFonts w:ascii="Times New Roman" w:cs="Times New Roman" w:eastAsia="Times New Roman" w:hAnsi="Times New Roman"/>
                <w:sz w:val="14"/>
                <w:szCs w:val="14"/>
                <w:b w:val="1"/>
                <w:bCs w:val="1"/>
                <w:color w:val="auto"/>
              </w:rPr>
              <w:t>+FOLFIRI/bev</w:t>
            </w:r>
          </w:p>
        </w:tc>
        <w:tc>
          <w:tcPr>
            <w:tcW w:w="0" w:type="dxa"/>
            <w:vAlign w:val="bottom"/>
          </w:tcPr>
          <w:p>
            <w:pPr>
              <w:spacing w:after="0"/>
              <w:rPr>
                <w:sz w:val="1"/>
                <w:szCs w:val="1"/>
                <w:color w:val="auto"/>
              </w:rPr>
            </w:pPr>
          </w:p>
        </w:tc>
      </w:tr>
      <w:tr>
        <w:trPr>
          <w:trHeight w:val="175"/>
        </w:trPr>
        <w:tc>
          <w:tcPr>
            <w:tcW w:w="2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Objective Response Rate (per BICR)</w:t>
            </w:r>
            <w:r>
              <w:rPr>
                <w:rFonts w:ascii="Times New Roman" w:cs="Times New Roman" w:eastAsia="Times New Roman" w:hAnsi="Times New Roman"/>
                <w:sz w:val="19"/>
                <w:szCs w:val="19"/>
                <w:b w:val="1"/>
                <w:bCs w:val="1"/>
                <w:color w:val="auto"/>
                <w:vertAlign w:val="superscript"/>
              </w:rPr>
              <w:t>a</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(n=37)</w:t>
            </w:r>
          </w:p>
        </w:tc>
        <w:tc>
          <w:tcPr>
            <w:tcW w:w="17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(n=19)</w:t>
            </w:r>
          </w:p>
        </w:tc>
        <w:tc>
          <w:tcPr>
            <w:tcW w:w="18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(n=18)</w:t>
            </w:r>
          </w:p>
        </w:tc>
        <w:tc>
          <w:tcPr>
            <w:tcW w:w="198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(n=18)</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58595B"/>
            </w:tcBorders>
            <w:vMerge w:val="continue"/>
          </w:tcPr>
          <w:p>
            <w:pPr>
              <w:spacing w:after="0"/>
              <w:rPr>
                <w:sz w:val="14"/>
                <w:szCs w:val="14"/>
                <w:color w:val="auto"/>
              </w:rPr>
            </w:pPr>
          </w:p>
        </w:tc>
        <w:tc>
          <w:tcPr>
            <w:tcW w:w="2880" w:type="dxa"/>
            <w:vAlign w:val="bottom"/>
            <w:tcBorders>
              <w:bottom w:val="single" w:sz="8" w:color="58595B"/>
            </w:tcBorders>
          </w:tcPr>
          <w:p>
            <w:pPr>
              <w:spacing w:after="0"/>
              <w:rPr>
                <w:sz w:val="14"/>
                <w:szCs w:val="14"/>
                <w:color w:val="auto"/>
              </w:rPr>
            </w:pPr>
          </w:p>
        </w:tc>
        <w:tc>
          <w:tcPr>
            <w:tcW w:w="1780" w:type="dxa"/>
            <w:vAlign w:val="bottom"/>
            <w:tcBorders>
              <w:bottom w:val="single" w:sz="8" w:color="58595B"/>
            </w:tcBorders>
          </w:tcPr>
          <w:p>
            <w:pPr>
              <w:spacing w:after="0"/>
              <w:rPr>
                <w:sz w:val="14"/>
                <w:szCs w:val="14"/>
                <w:color w:val="auto"/>
              </w:rPr>
            </w:pPr>
          </w:p>
        </w:tc>
        <w:tc>
          <w:tcPr>
            <w:tcW w:w="1880" w:type="dxa"/>
            <w:vAlign w:val="bottom"/>
            <w:tcBorders>
              <w:bottom w:val="single" w:sz="8" w:color="58595B"/>
            </w:tcBorders>
          </w:tcPr>
          <w:p>
            <w:pPr>
              <w:spacing w:after="0"/>
              <w:rPr>
                <w:sz w:val="14"/>
                <w:szCs w:val="14"/>
                <w:color w:val="auto"/>
              </w:rPr>
            </w:pPr>
          </w:p>
        </w:tc>
        <w:tc>
          <w:tcPr>
            <w:tcW w:w="1980" w:type="dxa"/>
            <w:vAlign w:val="bottom"/>
            <w:tcBorders>
              <w:bottom w:val="single" w:sz="8" w:color="58595B"/>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Confirmed Responders</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7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8</w:t>
            </w:r>
          </w:p>
        </w:tc>
        <w:tc>
          <w:tcPr>
            <w:tcW w:w="188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8</w:t>
            </w:r>
          </w:p>
        </w:tc>
        <w:tc>
          <w:tcPr>
            <w:tcW w:w="19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9"/>
              </w:rPr>
              <w:t>13</w:t>
            </w:r>
          </w:p>
        </w:tc>
        <w:tc>
          <w:tcPr>
            <w:tcW w:w="0" w:type="dxa"/>
            <w:vAlign w:val="bottom"/>
          </w:tcPr>
          <w:p>
            <w:pPr>
              <w:spacing w:after="0"/>
              <w:rPr>
                <w:sz w:val="1"/>
                <w:szCs w:val="1"/>
                <w:color w:val="auto"/>
              </w:rPr>
            </w:pPr>
          </w:p>
        </w:tc>
      </w:tr>
      <w:tr>
        <w:trPr>
          <w:trHeight w:val="212"/>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Confirmed ORR (%)</w:t>
            </w:r>
          </w:p>
        </w:tc>
        <w:tc>
          <w:tcPr>
            <w:tcW w:w="2880" w:type="dxa"/>
            <w:vAlign w:val="bottom"/>
          </w:tcPr>
          <w:p>
            <w:pPr>
              <w:jc w:val="right"/>
              <w:ind w:right="1248"/>
              <w:spacing w:after="0"/>
              <w:rPr>
                <w:sz w:val="20"/>
                <w:szCs w:val="20"/>
                <w:color w:val="auto"/>
              </w:rPr>
            </w:pPr>
            <w:r>
              <w:rPr>
                <w:rFonts w:ascii="Times New Roman" w:cs="Times New Roman" w:eastAsia="Times New Roman" w:hAnsi="Times New Roman"/>
                <w:sz w:val="14"/>
                <w:szCs w:val="14"/>
                <w:color w:val="auto"/>
              </w:rPr>
              <w:t>43.2</w:t>
            </w:r>
          </w:p>
        </w:tc>
        <w:tc>
          <w:tcPr>
            <w:tcW w:w="17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42.1</w:t>
            </w:r>
          </w:p>
        </w:tc>
        <w:tc>
          <w:tcPr>
            <w:tcW w:w="18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44.4</w:t>
            </w:r>
          </w:p>
        </w:tc>
        <w:tc>
          <w:tcPr>
            <w:tcW w:w="19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 xml:space="preserve">72.2 </w:t>
            </w:r>
            <w:r>
              <w:rPr>
                <w:rFonts w:ascii="Times New Roman" w:cs="Times New Roman" w:eastAsia="Times New Roman" w:hAnsi="Times New Roman"/>
                <w:sz w:val="16"/>
                <w:szCs w:val="16"/>
                <w:color w:val="auto"/>
                <w:vertAlign w:val="subscript"/>
              </w:rPr>
              <w:t>f</w:t>
            </w:r>
          </w:p>
        </w:tc>
        <w:tc>
          <w:tcPr>
            <w:tcW w:w="0" w:type="dxa"/>
            <w:vAlign w:val="bottom"/>
          </w:tcPr>
          <w:p>
            <w:pPr>
              <w:spacing w:after="0"/>
              <w:rPr>
                <w:sz w:val="1"/>
                <w:szCs w:val="1"/>
                <w:color w:val="auto"/>
              </w:rPr>
            </w:pPr>
          </w:p>
        </w:tc>
      </w:tr>
      <w:tr>
        <w:trPr>
          <w:trHeight w:val="95"/>
        </w:trPr>
        <w:tc>
          <w:tcPr>
            <w:tcW w:w="2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Progression Free Survival</w:t>
            </w:r>
            <w:r>
              <w:rPr>
                <w:rFonts w:ascii="Times New Roman" w:cs="Times New Roman" w:eastAsia="Times New Roman" w:hAnsi="Times New Roman"/>
                <w:sz w:val="19"/>
                <w:szCs w:val="19"/>
                <w:b w:val="1"/>
                <w:bCs w:val="1"/>
                <w:color w:val="auto"/>
                <w:vertAlign w:val="superscript"/>
              </w:rPr>
              <w:t>b</w:t>
            </w:r>
          </w:p>
        </w:tc>
        <w:tc>
          <w:tcPr>
            <w:tcW w:w="2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80" w:type="dxa"/>
            <w:vAlign w:val="bottom"/>
          </w:tcPr>
          <w:p>
            <w:pPr>
              <w:jc w:val="center"/>
              <w:ind w:left="51"/>
              <w:spacing w:after="0" w:line="95" w:lineRule="exact"/>
              <w:rPr>
                <w:sz w:val="20"/>
                <w:szCs w:val="20"/>
                <w:color w:val="auto"/>
              </w:rPr>
            </w:pPr>
            <w:r>
              <w:rPr>
                <w:rFonts w:ascii="Times New Roman" w:cs="Times New Roman" w:eastAsia="Times New Roman" w:hAnsi="Times New Roman"/>
                <w:sz w:val="10"/>
                <w:szCs w:val="10"/>
                <w:color w:val="auto"/>
              </w:rPr>
              <w:t>p-value = 0.051 (vs SoC)</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58595B"/>
            </w:tcBorders>
            <w:vMerge w:val="continue"/>
          </w:tcPr>
          <w:p>
            <w:pPr>
              <w:spacing w:after="0"/>
              <w:rPr>
                <w:sz w:val="14"/>
                <w:szCs w:val="14"/>
                <w:color w:val="auto"/>
              </w:rPr>
            </w:pPr>
          </w:p>
        </w:tc>
        <w:tc>
          <w:tcPr>
            <w:tcW w:w="2880" w:type="dxa"/>
            <w:vAlign w:val="bottom"/>
            <w:tcBorders>
              <w:bottom w:val="single" w:sz="8" w:color="58595B"/>
            </w:tcBorders>
          </w:tcPr>
          <w:p>
            <w:pPr>
              <w:spacing w:after="0"/>
              <w:rPr>
                <w:sz w:val="14"/>
                <w:szCs w:val="14"/>
                <w:color w:val="auto"/>
              </w:rPr>
            </w:pPr>
          </w:p>
        </w:tc>
        <w:tc>
          <w:tcPr>
            <w:tcW w:w="1780" w:type="dxa"/>
            <w:vAlign w:val="bottom"/>
            <w:tcBorders>
              <w:bottom w:val="single" w:sz="8" w:color="58595B"/>
            </w:tcBorders>
          </w:tcPr>
          <w:p>
            <w:pPr>
              <w:spacing w:after="0"/>
              <w:rPr>
                <w:sz w:val="14"/>
                <w:szCs w:val="14"/>
                <w:color w:val="auto"/>
              </w:rPr>
            </w:pPr>
          </w:p>
        </w:tc>
        <w:tc>
          <w:tcPr>
            <w:tcW w:w="1880" w:type="dxa"/>
            <w:vAlign w:val="bottom"/>
            <w:tcBorders>
              <w:bottom w:val="single" w:sz="8" w:color="58595B"/>
            </w:tcBorders>
          </w:tcPr>
          <w:p>
            <w:pPr>
              <w:spacing w:after="0"/>
              <w:rPr>
                <w:sz w:val="14"/>
                <w:szCs w:val="14"/>
                <w:color w:val="auto"/>
              </w:rPr>
            </w:pPr>
          </w:p>
        </w:tc>
        <w:tc>
          <w:tcPr>
            <w:tcW w:w="1980" w:type="dxa"/>
            <w:vAlign w:val="bottom"/>
            <w:tcBorders>
              <w:bottom w:val="single" w:sz="8" w:color="58595B"/>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Median PFS (months, 95% CI)</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10.97 (9.43-15.44)</w:t>
            </w:r>
          </w:p>
        </w:tc>
        <w:tc>
          <w:tcPr>
            <w:tcW w:w="17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10.97 (7.52-NR)</w:t>
            </w:r>
          </w:p>
        </w:tc>
        <w:tc>
          <w:tcPr>
            <w:tcW w:w="18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NR (7.49-NR)</w:t>
            </w:r>
          </w:p>
        </w:tc>
        <w:tc>
          <w:tcPr>
            <w:tcW w:w="19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NR (9.72-NR)</w:t>
            </w:r>
          </w:p>
        </w:tc>
        <w:tc>
          <w:tcPr>
            <w:tcW w:w="0" w:type="dxa"/>
            <w:vAlign w:val="bottom"/>
          </w:tcPr>
          <w:p>
            <w:pPr>
              <w:spacing w:after="0"/>
              <w:rPr>
                <w:sz w:val="1"/>
                <w:szCs w:val="1"/>
                <w:color w:val="auto"/>
              </w:rPr>
            </w:pPr>
          </w:p>
        </w:tc>
      </w:tr>
      <w:tr>
        <w:trPr>
          <w:trHeight w:val="329"/>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PFS HR (vs FOLFIRI/bev)</w:t>
            </w:r>
          </w:p>
        </w:tc>
        <w:tc>
          <w:tcPr>
            <w:tcW w:w="2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0.56 (0.18-1.73)</w:t>
            </w:r>
            <w:r>
              <w:rPr>
                <w:rFonts w:ascii="Times New Roman" w:cs="Times New Roman" w:eastAsia="Times New Roman" w:hAnsi="Times New Roman"/>
                <w:sz w:val="19"/>
                <w:szCs w:val="19"/>
                <w:b w:val="1"/>
                <w:bCs w:val="1"/>
                <w:color w:val="auto"/>
                <w:w w:val="99"/>
                <w:vertAlign w:val="superscript"/>
              </w:rPr>
              <w:t>d</w:t>
            </w:r>
          </w:p>
        </w:tc>
        <w:tc>
          <w:tcPr>
            <w:tcW w:w="19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9"/>
              </w:rPr>
              <w:t>0.38 (0.12-1.17)</w:t>
            </w:r>
            <w:r>
              <w:rPr>
                <w:rFonts w:ascii="Times New Roman" w:cs="Times New Roman" w:eastAsia="Times New Roman" w:hAnsi="Times New Roman"/>
                <w:sz w:val="19"/>
                <w:szCs w:val="19"/>
                <w:b w:val="1"/>
                <w:bCs w:val="1"/>
                <w:color w:val="auto"/>
                <w:w w:val="99"/>
                <w:vertAlign w:val="superscript"/>
              </w:rPr>
              <w:t>d</w:t>
            </w:r>
          </w:p>
        </w:tc>
        <w:tc>
          <w:tcPr>
            <w:tcW w:w="0" w:type="dxa"/>
            <w:vAlign w:val="bottom"/>
          </w:tcPr>
          <w:p>
            <w:pPr>
              <w:spacing w:after="0"/>
              <w:rPr>
                <w:sz w:val="1"/>
                <w:szCs w:val="1"/>
                <w:color w:val="auto"/>
              </w:rPr>
            </w:pPr>
          </w:p>
        </w:tc>
      </w:tr>
      <w:tr>
        <w:trPr>
          <w:trHeight w:val="275"/>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PFS HR (vs SoC)</w:t>
            </w:r>
          </w:p>
        </w:tc>
        <w:tc>
          <w:tcPr>
            <w:tcW w:w="2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8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0.57 (0.21-1.58)</w:t>
            </w:r>
            <w:r>
              <w:rPr>
                <w:rFonts w:ascii="Times New Roman" w:cs="Times New Roman" w:eastAsia="Times New Roman" w:hAnsi="Times New Roman"/>
                <w:sz w:val="19"/>
                <w:szCs w:val="19"/>
                <w:color w:val="auto"/>
                <w:vertAlign w:val="superscript"/>
              </w:rPr>
              <w:t>e</w:t>
            </w:r>
          </w:p>
        </w:tc>
        <w:tc>
          <w:tcPr>
            <w:tcW w:w="19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6"/>
              </w:rPr>
              <w:t>0.37 (0.13-</w:t>
            </w:r>
            <w:r>
              <w:rPr>
                <w:rFonts w:ascii="Times New Roman" w:cs="Times New Roman" w:eastAsia="Times New Roman" w:hAnsi="Times New Roman"/>
                <w:sz w:val="16"/>
                <w:szCs w:val="16"/>
                <w:color w:val="auto"/>
                <w:w w:val="96"/>
                <w:vertAlign w:val="subscript"/>
              </w:rPr>
              <w:t>g</w:t>
            </w:r>
            <w:r>
              <w:rPr>
                <w:rFonts w:ascii="Times New Roman" w:cs="Times New Roman" w:eastAsia="Times New Roman" w:hAnsi="Times New Roman"/>
                <w:sz w:val="14"/>
                <w:szCs w:val="14"/>
                <w:color w:val="auto"/>
                <w:w w:val="96"/>
              </w:rPr>
              <w:t>1.02)</w:t>
            </w:r>
            <w:r>
              <w:rPr>
                <w:rFonts w:ascii="Times New Roman" w:cs="Times New Roman" w:eastAsia="Times New Roman" w:hAnsi="Times New Roman"/>
                <w:sz w:val="19"/>
                <w:szCs w:val="19"/>
                <w:color w:val="auto"/>
                <w:w w:val="96"/>
                <w:vertAlign w:val="superscript"/>
              </w:rPr>
              <w:t>e</w:t>
            </w: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8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w w:val="99"/>
              </w:rPr>
              <w:t>p-value = 0.048 (vs SoC)</w:t>
            </w:r>
          </w:p>
        </w:tc>
        <w:tc>
          <w:tcPr>
            <w:tcW w:w="0" w:type="dxa"/>
            <w:vAlign w:val="bottom"/>
          </w:tcPr>
          <w:p>
            <w:pPr>
              <w:spacing w:after="0"/>
              <w:rPr>
                <w:sz w:val="1"/>
                <w:szCs w:val="1"/>
                <w:color w:val="auto"/>
              </w:rPr>
            </w:pPr>
          </w:p>
        </w:tc>
      </w:tr>
      <w:tr>
        <w:trPr>
          <w:trHeight w:val="231"/>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PFS Rate at 6 months (95% CI)</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88.8 (77.4-100)</w:t>
            </w:r>
          </w:p>
        </w:tc>
        <w:tc>
          <w:tcPr>
            <w:tcW w:w="17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79.5 (61.1-100)</w:t>
            </w:r>
          </w:p>
        </w:tc>
        <w:tc>
          <w:tcPr>
            <w:tcW w:w="18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88.1 (73.9-100)</w:t>
            </w:r>
          </w:p>
        </w:tc>
        <w:tc>
          <w:tcPr>
            <w:tcW w:w="19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94.1 (83.6-100)</w:t>
            </w:r>
          </w:p>
        </w:tc>
        <w:tc>
          <w:tcPr>
            <w:tcW w:w="0" w:type="dxa"/>
            <w:vAlign w:val="bottom"/>
          </w:tcPr>
          <w:p>
            <w:pPr>
              <w:spacing w:after="0"/>
              <w:rPr>
                <w:sz w:val="1"/>
                <w:szCs w:val="1"/>
                <w:color w:val="auto"/>
              </w:rPr>
            </w:pPr>
          </w:p>
        </w:tc>
      </w:tr>
      <w:tr>
        <w:trPr>
          <w:trHeight w:val="37"/>
        </w:trPr>
        <w:tc>
          <w:tcPr>
            <w:tcW w:w="2720" w:type="dxa"/>
            <w:vAlign w:val="bottom"/>
            <w:tcBorders>
              <w:bottom w:val="single" w:sz="8" w:color="58595B"/>
            </w:tcBorders>
          </w:tcPr>
          <w:p>
            <w:pPr>
              <w:spacing w:after="0"/>
              <w:rPr>
                <w:sz w:val="3"/>
                <w:szCs w:val="3"/>
                <w:color w:val="auto"/>
              </w:rPr>
            </w:pPr>
          </w:p>
        </w:tc>
        <w:tc>
          <w:tcPr>
            <w:tcW w:w="2880" w:type="dxa"/>
            <w:vAlign w:val="bottom"/>
            <w:tcBorders>
              <w:bottom w:val="single" w:sz="8" w:color="58595B"/>
            </w:tcBorders>
          </w:tcPr>
          <w:p>
            <w:pPr>
              <w:spacing w:after="0"/>
              <w:rPr>
                <w:sz w:val="3"/>
                <w:szCs w:val="3"/>
                <w:color w:val="auto"/>
              </w:rPr>
            </w:pPr>
          </w:p>
        </w:tc>
        <w:tc>
          <w:tcPr>
            <w:tcW w:w="1780" w:type="dxa"/>
            <w:vAlign w:val="bottom"/>
            <w:tcBorders>
              <w:bottom w:val="single" w:sz="8" w:color="58595B"/>
            </w:tcBorders>
          </w:tcPr>
          <w:p>
            <w:pPr>
              <w:spacing w:after="0"/>
              <w:rPr>
                <w:sz w:val="3"/>
                <w:szCs w:val="3"/>
                <w:color w:val="auto"/>
              </w:rPr>
            </w:pPr>
          </w:p>
        </w:tc>
        <w:tc>
          <w:tcPr>
            <w:tcW w:w="1880" w:type="dxa"/>
            <w:vAlign w:val="bottom"/>
            <w:tcBorders>
              <w:bottom w:val="single" w:sz="8" w:color="58595B"/>
            </w:tcBorders>
          </w:tcPr>
          <w:p>
            <w:pPr>
              <w:spacing w:after="0"/>
              <w:rPr>
                <w:sz w:val="3"/>
                <w:szCs w:val="3"/>
                <w:color w:val="auto"/>
              </w:rPr>
            </w:pPr>
          </w:p>
        </w:tc>
        <w:tc>
          <w:tcPr>
            <w:tcW w:w="1980" w:type="dxa"/>
            <w:vAlign w:val="bottom"/>
            <w:tcBorders>
              <w:bottom w:val="single" w:sz="8" w:color="58595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480" w:right="100"/>
        <w:spacing w:after="0" w:line="273" w:lineRule="auto"/>
        <w:rPr>
          <w:sz w:val="20"/>
          <w:szCs w:val="20"/>
          <w:color w:val="auto"/>
        </w:rPr>
      </w:pPr>
      <w:r>
        <w:rPr>
          <w:rFonts w:ascii="Times New Roman" w:cs="Times New Roman" w:eastAsia="Times New Roman" w:hAnsi="Times New Roman"/>
          <w:sz w:val="13"/>
          <w:szCs w:val="13"/>
          <w:color w:val="auto"/>
        </w:rPr>
        <w:t>Bev=bevacizumab; BICR=Blinded Independent Central Review; CI=confidence interval; HR=hazard ratio; NR=not reached; Onv=onvansertib; ORR=objective response rate; PFS=progression-free survival; SoC=standard of care.</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ORR is confirmed responses</w:t>
      </w:r>
    </w:p>
    <w:p>
      <w:pPr>
        <w:spacing w:after="0" w:line="19" w:lineRule="exact"/>
        <w:rPr>
          <w:sz w:val="20"/>
          <w:szCs w:val="20"/>
          <w:color w:val="auto"/>
        </w:rPr>
      </w:pPr>
    </w:p>
    <w:p>
      <w:pPr>
        <w:ind w:left="480" w:right="660"/>
        <w:spacing w:after="0" w:line="226" w:lineRule="auto"/>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3"/>
          <w:szCs w:val="13"/>
          <w:color w:val="auto"/>
        </w:rPr>
        <w:t>Progressive disease events were based on combined BICR and Investigator assessments due to very small number of events in BICR assessment. The earliest reported date was used for a conservative estimate.</w:t>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vertAlign w:val="superscript"/>
        </w:rPr>
        <w:t>c</w:t>
      </w:r>
      <w:r>
        <w:rPr>
          <w:rFonts w:ascii="Times New Roman" w:cs="Times New Roman" w:eastAsia="Times New Roman" w:hAnsi="Times New Roman"/>
          <w:sz w:val="13"/>
          <w:szCs w:val="13"/>
          <w:color w:val="auto"/>
        </w:rPr>
        <w:t>SoC is the combination of the FOLFIRI/bev and FOLFOX/bev arms</w:t>
      </w:r>
    </w:p>
    <w:p>
      <w:pPr>
        <w:ind w:left="480"/>
        <w:spacing w:after="0"/>
        <w:rPr>
          <w:sz w:val="20"/>
          <w:szCs w:val="20"/>
          <w:color w:val="auto"/>
        </w:rPr>
      </w:pPr>
      <w:r>
        <w:rPr>
          <w:rFonts w:ascii="Times New Roman" w:cs="Times New Roman" w:eastAsia="Times New Roman" w:hAnsi="Times New Roman"/>
          <w:sz w:val="18"/>
          <w:szCs w:val="18"/>
          <w:b w:val="1"/>
          <w:bCs w:val="1"/>
          <w:color w:val="auto"/>
          <w:vertAlign w:val="superscript"/>
        </w:rPr>
        <w:t>d</w:t>
      </w:r>
      <w:r>
        <w:rPr>
          <w:rFonts w:ascii="Times New Roman" w:cs="Times New Roman" w:eastAsia="Times New Roman" w:hAnsi="Times New Roman"/>
          <w:sz w:val="13"/>
          <w:szCs w:val="13"/>
          <w:color w:val="auto"/>
        </w:rPr>
        <w:t>PFS HR is the comparison of the onvansertib arm to FOLFIRI/bev</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vertAlign w:val="superscript"/>
        </w:rPr>
        <w:t>e</w:t>
      </w:r>
      <w:r>
        <w:rPr>
          <w:rFonts w:ascii="Times New Roman" w:cs="Times New Roman" w:eastAsia="Times New Roman" w:hAnsi="Times New Roman"/>
          <w:sz w:val="13"/>
          <w:szCs w:val="13"/>
          <w:color w:val="auto"/>
        </w:rPr>
        <w:t>PFS HR is the comparison of the onvansertib arm to SoC</w:t>
      </w:r>
    </w:p>
    <w:p>
      <w:pPr>
        <w:ind w:left="480"/>
        <w:spacing w:after="0" w:line="234" w:lineRule="auto"/>
        <w:rPr>
          <w:sz w:val="20"/>
          <w:szCs w:val="20"/>
          <w:color w:val="auto"/>
        </w:rPr>
      </w:pPr>
      <w:r>
        <w:rPr>
          <w:rFonts w:ascii="Times New Roman" w:cs="Times New Roman" w:eastAsia="Times New Roman" w:hAnsi="Times New Roman"/>
          <w:sz w:val="18"/>
          <w:szCs w:val="18"/>
          <w:color w:val="auto"/>
          <w:vertAlign w:val="superscript"/>
        </w:rPr>
        <w:t>f</w:t>
      </w:r>
      <w:r>
        <w:rPr>
          <w:rFonts w:ascii="Times New Roman" w:cs="Times New Roman" w:eastAsia="Times New Roman" w:hAnsi="Times New Roman"/>
          <w:sz w:val="13"/>
          <w:szCs w:val="13"/>
          <w:color w:val="auto"/>
        </w:rPr>
        <w:t>Fisher’s exact test</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vertAlign w:val="superscript"/>
        </w:rPr>
        <w:t>g</w:t>
      </w:r>
      <w:r>
        <w:rPr>
          <w:rFonts w:ascii="Times New Roman" w:cs="Times New Roman" w:eastAsia="Times New Roman" w:hAnsi="Times New Roman"/>
          <w:sz w:val="13"/>
          <w:szCs w:val="13"/>
          <w:color w:val="auto"/>
        </w:rPr>
        <w:t>Log-rank test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We will report detailed updated data from our randomized Phase 2 CRDF-004 trial evaluating onvansertib in combination with FOLFIRI/bev or FOLFOX/bev in patients with first-line RAS-mutated mCRC in a rapid oral presentation at the ASCO Annual Meeting, taking place May 29–June 2 in Chicago.</w:t>
      </w:r>
    </w:p>
    <w:p>
      <w:pPr>
        <w:spacing w:after="0" w:line="131" w:lineRule="exact"/>
        <w:rPr>
          <w:sz w:val="20"/>
          <w:szCs w:val="20"/>
          <w:color w:val="auto"/>
        </w:rPr>
      </w:pPr>
    </w:p>
    <w:p>
      <w:pPr>
        <w:ind w:left="520" w:right="120"/>
        <w:spacing w:after="0" w:line="286" w:lineRule="auto"/>
        <w:rPr>
          <w:sz w:val="20"/>
          <w:szCs w:val="20"/>
          <w:color w:val="auto"/>
        </w:rPr>
      </w:pPr>
      <w:r>
        <w:rPr>
          <w:rFonts w:ascii="Times New Roman" w:cs="Times New Roman" w:eastAsia="Times New Roman" w:hAnsi="Times New Roman"/>
          <w:sz w:val="18"/>
          <w:szCs w:val="18"/>
          <w:b w:val="1"/>
          <w:bCs w:val="1"/>
          <w:color w:val="auto"/>
        </w:rPr>
        <w:t>Completed End-of-Phase 2 Meeting with the FDA and Aligned on the Design of the Phase 3 Registrational Trial in Patients with First-line RAS-mutated mCRC</w:t>
      </w:r>
    </w:p>
    <w:p>
      <w:pPr>
        <w:spacing w:after="0" w:line="9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consultation with the U.S. Food and Drug Administration (FDA), Cardiff selected the 30 mg dose of onvansertib for evaluation with FOLFIRI/bev chemotherapy regimen for the Phase 3 trial in patients with first-line RAS-mutated mCRC. Additional details of the clinical trial will be shared by mid-2026.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Clinical Programs:</w:t>
      </w:r>
    </w:p>
    <w:p>
      <w:pPr>
        <w:spacing w:after="0" w:line="337"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18"/>
          <w:szCs w:val="18"/>
          <w:color w:val="auto"/>
        </w:rPr>
        <w:t>We support certain investigator-initiated trials by supplying onvansertib to academic clinicians who conduct clinical trials independently. These studies allow us to tap into the expertise of independent clinicians and academic investigators to explore new therapeutic indications or new dosage regimens at a low cost to us. By facilitating independent research, we have the opportunity to gain valuable evidence and safety data that can inform future regulatory decisions or improve our understanding of onvansertib’s efficacy. Furthermore, supporting investigator-initiated trials acts as a collaborative effort that strengthens relationships with KOLs.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Phase 1b/2 Investigator-Initiated Clinical Trial in First-Line mPDAC</w:t>
      </w:r>
    </w:p>
    <w:p>
      <w:pPr>
        <w:spacing w:after="0" w:line="121"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February 2024, the FDA approved NALIRIFOX as a first-line treatment option for mPDAC. As a result, we are currently supporting an investigator-initiated mPDAC Phase 1b/2 trial of onvansertib in combination with first-line SoC NALIRIFOX, which is open for enrollment at the University of Kansas Medical Center. For more information, please visit NCT06736717 at </w:t>
      </w:r>
      <w:r>
        <w:rPr>
          <w:rFonts w:ascii="Times New Roman" w:cs="Times New Roman" w:eastAsia="Times New Roman" w:hAnsi="Times New Roman"/>
          <w:sz w:val="18"/>
          <w:szCs w:val="18"/>
          <w:i w:val="1"/>
          <w:iCs w:val="1"/>
          <w:color w:val="auto"/>
        </w:rPr>
        <w:t>www.clinicaltrials.gov.</w:t>
      </w:r>
    </w:p>
    <w:p>
      <w:pPr>
        <w:spacing w:after="0" w:line="68"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primary objective in this study is to determine anti-tumor activity by measuring ORR. The secondary objectives are to determine treatment safety based on toxicities in participants who have received at least one dose of onvansertib, to determine anti-tumor activity by PFS, to determine anti-tumor activity by Disease Control Rate ("DCR"), to determine Overall Survival ("OS").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Phase 2 Investigator-Initiated Clinical Trial in SCLC</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 single-arm, two-stage, Phase 2 trial of onvansertib monotherapy in patients with relapsed SCLC is open for enrollment at the University of Maryland, Baltimore. The trial is designed to enroll 15 patients in Stage 1, with the study proceeding to Stage 2 if 2 or more Stage 1 patients achieve an objective response. Stage 2 is designed to enroll an additional 20 patients. The primary endpoint of the trial is ORR, while key secondary endpoints include PFS and OS. For more information, please visit NCT05450965 at </w:t>
      </w:r>
      <w:r>
        <w:rPr>
          <w:rFonts w:ascii="Times New Roman" w:cs="Times New Roman" w:eastAsia="Times New Roman" w:hAnsi="Times New Roman"/>
          <w:sz w:val="18"/>
          <w:szCs w:val="18"/>
          <w:i w:val="1"/>
          <w:iCs w:val="1"/>
          <w:color w:val="auto"/>
        </w:rPr>
        <w:t>www.clinicialtrials.gov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An examination of the safety data from the first six patients by the institutional review board confirmed the trial can continue to enroll as planned. Preliminary efficacy data for seven patients presented on September 26, 2023, showed one confirmed partial response (“PR”), three stable disease (“SD”) and three progressive disease (“PD”). The DCR, including PR and SD, is 57% (4 of 7 patients).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Phase 1b Investigator-Initiated Clinical Trial in mTNBC</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 single-arm, phase 1b trial of onvansertib in combination with paclitaxel in patients with unresectable locally advanced or metastatic TNBC at Dana Farber Cancer Institute ("DFCI") has completed enrollment. The trial was designed to treat approximately 14-16 patients with different doses of onvansertib in combination with a fixed dose of paclitaxel to determine the maximum tolerated dose and the safety and efficacy of onvansertib in combination with paclitaxel. For more information, please visit NCT05383196 at </w:t>
      </w:r>
      <w:r>
        <w:rPr>
          <w:rFonts w:ascii="Times New Roman" w:cs="Times New Roman" w:eastAsia="Times New Roman" w:hAnsi="Times New Roman"/>
          <w:sz w:val="18"/>
          <w:szCs w:val="18"/>
          <w:i w:val="1"/>
          <w:iCs w:val="1"/>
          <w:color w:val="auto"/>
        </w:rPr>
        <w:t>www.clinicialtrials.gov</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2025, the investigator presented promising data from this trial at ASCO:</w:t>
      </w:r>
    </w:p>
    <w:p>
      <w:pPr>
        <w:spacing w:after="0" w:line="117" w:lineRule="exact"/>
        <w:rPr>
          <w:sz w:val="20"/>
          <w:szCs w:val="20"/>
          <w:color w:val="auto"/>
        </w:rPr>
      </w:pPr>
    </w:p>
    <w:p>
      <w:pPr>
        <w:ind w:left="1320" w:hanging="378"/>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enrolled in the trial received a median of 3 prior lines of chemotherapy.</w:t>
      </w:r>
    </w:p>
    <w:p>
      <w:pPr>
        <w:spacing w:after="0" w:line="123" w:lineRule="exact"/>
        <w:rPr>
          <w:rFonts w:ascii="Times New Roman" w:cs="Times New Roman" w:eastAsia="Times New Roman" w:hAnsi="Times New Roman"/>
          <w:sz w:val="18"/>
          <w:szCs w:val="18"/>
          <w:color w:val="auto"/>
        </w:rPr>
      </w:pPr>
    </w:p>
    <w:p>
      <w:pPr>
        <w:ind w:left="1320" w:right="20" w:hanging="378"/>
        <w:spacing w:after="0" w:line="233" w:lineRule="auto"/>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Onvansertib in combination with paclitaxel demonstrated 40% objective response rate by RECIST 1.1 at RP2D of 18mg/m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(n=10), with two confirmed partial responses and two unconfirmed partial responses.</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20" w:right="700" w:hanging="378"/>
        <w:spacing w:after="0" w:line="282"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onvansertib and paclitaxel was well-tolerated and demonstrated a safe and manageable toxicity profile with myelosuppression being the most common adverse event.</w:t>
      </w:r>
    </w:p>
    <w:p>
      <w:pPr>
        <w:spacing w:after="0" w:line="53" w:lineRule="exact"/>
        <w:rPr>
          <w:rFonts w:ascii="Times New Roman" w:cs="Times New Roman" w:eastAsia="Times New Roman" w:hAnsi="Times New Roman"/>
          <w:sz w:val="18"/>
          <w:szCs w:val="18"/>
          <w:color w:val="auto"/>
        </w:rPr>
      </w:pPr>
    </w:p>
    <w:p>
      <w:pPr>
        <w:ind w:left="1320" w:right="640" w:hanging="378"/>
        <w:spacing w:after="0" w:line="282"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this clinical data further supports the potential exploration of the combination of onvansertib plus paclitaxel for the treatment of mTNBC.</w:t>
      </w:r>
    </w:p>
    <w:p>
      <w:pPr>
        <w:spacing w:after="0" w:line="3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Phase 1 Investigator-Initiated Clinical Trial in CMML</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This phase 1 trial is designed to evaluate the safety, effectiveness, and best dose of onvansertib as a monotherapy for the treatment of patients with CMML and Myelodysplastic syndrome/myeloproliferative neoplasm ("MDS/MPN") overlap neoplasms that has come back (recurrent) or that does not respond to treatment (refractory). For more information, please visit NCT05549661 at </w:t>
      </w:r>
      <w:r>
        <w:rPr>
          <w:rFonts w:ascii="Times New Roman" w:cs="Times New Roman" w:eastAsia="Times New Roman" w:hAnsi="Times New Roman"/>
          <w:sz w:val="18"/>
          <w:szCs w:val="18"/>
          <w:i w:val="1"/>
          <w:iCs w:val="1"/>
          <w:color w:val="auto"/>
        </w:rPr>
        <w:t>www.clinicialtrials.gov</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Data presented at the American Society of Hematology ("ASH") meeting on December 8, 2025, from this ongoing Phase 1 dose-escalation trial (N=9) showed that onvansertib monotherapy was generally well-tolerated and demonstrated preliminary efficacy in approximately 40% of patients. One patient achieved an optimal marrow response at the 9 mg/m² dose and three patients achieved clinical benefit at 6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12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Dose expansion is currently open and recruiting at the 12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dose.</w:t>
      </w:r>
    </w:p>
    <w:p>
      <w:pPr>
        <w:spacing w:after="0" w:line="9" w:lineRule="exact"/>
        <w:rPr>
          <w:sz w:val="20"/>
          <w:szCs w:val="20"/>
          <w:color w:val="auto"/>
        </w:rPr>
      </w:pPr>
    </w:p>
    <w:p>
      <w:pPr>
        <w:ind w:right="480" w:firstLine="554"/>
        <w:spacing w:after="0" w:line="282" w:lineRule="auto"/>
        <w:rPr>
          <w:sz w:val="20"/>
          <w:szCs w:val="20"/>
          <w:color w:val="auto"/>
        </w:rPr>
      </w:pPr>
      <w:r>
        <w:rPr>
          <w:rFonts w:ascii="Times New Roman" w:cs="Times New Roman" w:eastAsia="Times New Roman" w:hAnsi="Times New Roman"/>
          <w:sz w:val="18"/>
          <w:szCs w:val="18"/>
          <w:color w:val="auto"/>
        </w:rPr>
        <w:t>These findings, together with previously reported results from an investigator-sponsored trial in small cell lung cancer, support onvansertib’s single-agent activity across both hematologic and solid tumors.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Updates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Appointment of Chief Executive Officer, Chief Financial Officer, and Chief Operating Officer</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April 9, 2026, we announced the appointment of Mani Mohindru, PhD, as President and Chief Executive Officer (CEO), following her time as Interim CEO. She will continue as a member of the Board of Directors. We also appointed Josh Muntner as Chief Financial Officer and Ajay Aggarwal, MD, MBA, as Chief Operating Officer, effective April 6 and April 27, respectively. Together, these appointments reflect Cardiff's commitment to building an experienced leadership team to advance onvansertib and deliver on the program’s long-term potential.</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Presented Preclinical Data on PLK1 Inhibitor Onvansertib in Combination with Her2-Targeted ADC at AACR Annual Meeting</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April 19, 2026, we presented new preclinical data in a poster at the American Association for Cancer Research ("AACR"). The data highlight the potential of onvansertib in combination with the HER-2 targeted antibody-drug conjugate ("ADC"), trastuzumab deruxtecan ("T-DXd"), demonstrating robust antitumor activity and the ability to overcome resistance in HER2-low breast cancer models.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accounting policies are described in ITEM 7. MANAGEMENT’S DISCUSSION AND ANALYSIS OF FINANCIAL CONDITION AND RESULTS OF OPERATIONS of our Annual Report on Form 10-K as of and for the year ended December 31, 2025, filed with the SEC on February 24, 2026. There have been no changes to our critical accounting estimates since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Total revenues were $41,000 for the three months ended March 31, 2026, as compared to $109,000 for the same period in 2025. Revenues are from our sales-based or usage-based royalties on other intellectual property licenses, unrelated to onvansertib. Revenue recognition of the royalty depends on the timing and overall sales activities of the licensees.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0" w:type="dxa"/>
            <w:vAlign w:val="bottom"/>
            <w:tcBorders>
              <w:bottom w:val="single" w:sz="8" w:color="auto"/>
            </w:tcBorders>
          </w:tcPr>
          <w:p>
            <w:pPr>
              <w:spacing w:after="0"/>
              <w:rPr>
                <w:sz w:val="15"/>
                <w:szCs w:val="15"/>
                <w:color w:val="auto"/>
              </w:rPr>
            </w:pPr>
          </w:p>
        </w:tc>
      </w:tr>
      <w:tr>
        <w:trPr>
          <w:trHeight w:val="117"/>
        </w:trPr>
        <w:tc>
          <w:tcPr>
            <w:tcW w:w="5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416"/>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r>
      <w:tr>
        <w:trPr>
          <w:trHeight w:val="173"/>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staff costs</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1,744</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1,969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trials, outside services, and lab supplies</w:t>
            </w: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4,260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7,497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other</w:t>
            </w:r>
          </w:p>
        </w:tc>
        <w:tc>
          <w:tcPr>
            <w:tcW w:w="1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6,765</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10,477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decreased by $3.7 million for the three months ended March 31, 2026, compared to the same period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decrease in expenses was primarily due to a reduction in clinical trial expenses and a decrease in preclinical activities.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Selling, general and administrative expenses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0" w:type="dxa"/>
            <w:vAlign w:val="bottom"/>
            <w:tcBorders>
              <w:bottom w:val="single" w:sz="8" w:color="auto"/>
            </w:tcBorders>
          </w:tcPr>
          <w:p>
            <w:pPr>
              <w:spacing w:after="0"/>
              <w:rPr>
                <w:sz w:val="15"/>
                <w:szCs w:val="15"/>
                <w:color w:val="auto"/>
              </w:rPr>
            </w:pPr>
          </w:p>
        </w:tc>
      </w:tr>
      <w:tr>
        <w:trPr>
          <w:trHeight w:val="117"/>
        </w:trPr>
        <w:tc>
          <w:tcPr>
            <w:tcW w:w="4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416"/>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r>
      <w:tr>
        <w:trPr>
          <w:trHeight w:val="173"/>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staff costs</w:t>
            </w:r>
          </w:p>
        </w:tc>
        <w:tc>
          <w:tcPr>
            <w:tcW w:w="2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2,929</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services and professional fees</w:t>
            </w:r>
          </w:p>
        </w:tc>
        <w:tc>
          <w:tcPr>
            <w:tcW w:w="1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1,429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other</w:t>
            </w:r>
          </w:p>
        </w:tc>
        <w:tc>
          <w:tcPr>
            <w:tcW w:w="1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6,126</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4,014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2,112</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$2.1 million for the three months ended March 31, 2026, compared to the same period in 2025. The overall increase in expenses was primarily from employee severance agreements recorded to salaries and staff costs within the current period. The increase in stock based compensation was due the modification of stock options from employee severance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Interest income, net was $0.5 million for the three months ended March 31, 2026 as compared to $0.9 million for the same period of 2025. Our interest income is primarily from our short-term investment portfolios and money market accounts. The amount of interest income earned varies each period based on the balance of our accounts and interest rates.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we had working capital of $32.9 million and $43.7 million, respectively.</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have incurred net losses since our inception and have negative operating cash flows. As of March 31, 2026, we had $46.1 million in cash, cash equivalents and short-term investments. Based on our current projections, we expect that our capital resources are sufficient to fund our operations into the first quarter of 2027, which is not sufficient to meet our funding requirements for at least the next 12 months following the issuance of our financial statements. Management has performed an analysis and concluded that there exists a substantial doubt about our ability to continue as a going concern, see Note 1 </w:t>
      </w:r>
      <w:r>
        <w:rPr>
          <w:rFonts w:ascii="Times New Roman" w:cs="Times New Roman" w:eastAsia="Times New Roman" w:hAnsi="Times New Roman"/>
          <w:sz w:val="18"/>
          <w:szCs w:val="18"/>
          <w:i w:val="1"/>
          <w:iCs w:val="1"/>
          <w:color w:val="auto"/>
        </w:rPr>
        <w:t>Business Organization and Overview - Going Concern Uncertainty</w:t>
      </w:r>
      <w:r>
        <w:rPr>
          <w:rFonts w:ascii="Times New Roman" w:cs="Times New Roman" w:eastAsia="Times New Roman" w:hAnsi="Times New Roman"/>
          <w:sz w:val="18"/>
          <w:szCs w:val="18"/>
          <w:color w:val="auto"/>
        </w:rPr>
        <w:t xml:space="preserve"> to the financial statements for additional details.</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drug development efforts are in their early stages, and we cannot make estimates of the costs or the time that our development efforts will take to complete, or the timing and amount of revenues related to the sale of our drug candidates. The risk of completion of any program is high because of the many uncertainties involved in developing new drug candidates to market, including the long duration of clinical testing, the specific performance of proposed products under stringent clinical trial protocols, extended regulatory approval and review cycles, our ability to raise additional capital, the nature and timing of research and development expenses, and competing technologies being developed by organizations with significantly greater resources.</w:t>
      </w:r>
    </w:p>
    <w:p>
      <w:pPr>
        <w:spacing w:after="0" w:line="18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For the foreseeable future, we expect to continue to incur losses and require additional capital to further advance our clinical trial programs and support our other operations. We cannot be certain that additional funding will be available on acceptable terms,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all. To the extent that we can raise additional funds by issuing equity securities, our stockholders may experience additional dilution.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18"/>
                <w:szCs w:val="18"/>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3,257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$12.3 million. Our primary use of cash was from our net loss of $12.3 million, adjusted for non-cash items of $1.8 million primarily related to stock-based compensation. The net change in our operating assets and liabilities decreased cash used in operations by $1.7 million.</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$12.8 million. Our primary use of cash was from our net loss of $13.4 million, adjusted for non-cash items of $1.5 million primarily related to stock-based compensation. The net change in our operating assets and liabilities decreased cash used in operations by $0.8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our current and anticipated level of operating loss, we expect to continue to incur an operating cash outflow for the next several years.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2026 was $3.3 million, primarily related to maturities in excess of purchases of marketable securities.</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$14.6 million, primarily related to purchases in excess of maturities and sales of marketable securities.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$105,000, from employee stock options exercises.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$3,000, from employee stock options exercises.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performed an evaluation under the supervision and with the participation of our management, including our principal executive officer (CEO) and principal financial officer (CFO), of the effectiveness of our disclosure controls and procedures, as defined in Rule 13a-15(e) and 15d-15(e) under the Securities Exchange Act of 1934, as amended (the “Exchange Act”). Based on that evaluation, our principal executive officer and principal financial officer concluded that our disclosure controls and procedures were effective as of March 31, 2026, to provide reasonable assurance that information required to be disclosed by us in the reports filed or submitted by us under the Exchange Act is recorded, processed, summarized and reported within the time periods specified in the SEC’s rules and forms.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as specified above. Management does not expect, however, that our disclosure controls and procedures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three months ended March 31, 2026, that materially affected, or is reasonably likely to materially affect, our internal control over financial reporting.</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6. Commitments and Contingencies” in the Notes to Consolidated Financial Statements included in Item 1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Form 10-K for the year ended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officers adopted or terminated any “Rule 10b5-1 trading arrangements” or any “non-Rule 10b5-1 trading arrangements,” as each term is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80" w:type="dxa"/>
            <w:vAlign w:val="bottom"/>
            <w:gridSpan w:val="4"/>
            <w:vMerge w:val="restart"/>
          </w:tcPr>
          <w:p>
            <w:pPr>
              <w:ind w:left="34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Separation Agreement dated March 27, 2026 by and between Cardiff Oncology, Inc. and Mark Erlander.</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Separation Agreement dated March 27, 2026 by and between Cardiff Oncology, Inc. and James Levine.</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5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by Rule 13a-14(a)/15d-14(a) under the Exchange Act.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740" w:type="dxa"/>
            <w:vAlign w:val="bottom"/>
            <w:gridSpan w:val="2"/>
            <w:shd w:val="clear" w:color="auto" w:fill="0000FF"/>
          </w:tcPr>
          <w:p>
            <w:pPr>
              <w:spacing w:after="0" w:line="20" w:lineRule="exact"/>
              <w:rPr>
                <w:sz w:val="1"/>
                <w:szCs w:val="1"/>
                <w:color w:val="auto"/>
              </w:rPr>
            </w:pPr>
          </w:p>
        </w:tc>
        <w:tc>
          <w:tcPr>
            <w:tcW w:w="2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 Rule 13a-14(a)/15d-14(a) under the Exchange Act.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74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9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Pr>
          <w:p>
            <w:pPr>
              <w:spacing w:after="0"/>
              <w:rPr>
                <w:sz w:val="20"/>
                <w:szCs w:val="20"/>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540" w:right="4220" w:hanging="5532"/>
        <w:spacing w:after="0" w:line="783" w:lineRule="auto"/>
        <w:tabs>
          <w:tab w:leader="none" w:pos="12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CARDIFF ONCOLOGY, INC.</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May 14, 2026</w:t>
            </w:r>
          </w:p>
        </w:tc>
        <w:tc>
          <w:tcPr>
            <w:tcW w:w="2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Mani Mohindru</w:t>
            </w:r>
          </w:p>
        </w:tc>
      </w:tr>
      <w:tr>
        <w:trPr>
          <w:trHeight w:val="191"/>
        </w:trPr>
        <w:tc>
          <w:tcPr>
            <w:tcW w:w="32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Mani Mohindru</w:t>
            </w:r>
          </w:p>
        </w:tc>
      </w:tr>
      <w:tr>
        <w:trPr>
          <w:trHeight w:val="216"/>
        </w:trPr>
        <w:tc>
          <w:tcPr>
            <w:tcW w:w="3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280" w:type="dxa"/>
            <w:vAlign w:val="bottom"/>
          </w:tcPr>
          <w:p>
            <w:pPr>
              <w:spacing w:after="0"/>
              <w:rPr>
                <w:sz w:val="24"/>
                <w:szCs w:val="24"/>
                <w:color w:val="auto"/>
              </w:rPr>
            </w:pPr>
          </w:p>
        </w:tc>
        <w:tc>
          <w:tcPr>
            <w:tcW w:w="79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CARDIFF ONCOLOGY, INC.</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May 14, 2026</w:t>
            </w:r>
          </w:p>
        </w:tc>
        <w:tc>
          <w:tcPr>
            <w:tcW w:w="2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Muntner</w:t>
            </w:r>
          </w:p>
        </w:tc>
      </w:tr>
      <w:tr>
        <w:trPr>
          <w:trHeight w:val="191"/>
        </w:trPr>
        <w:tc>
          <w:tcPr>
            <w:tcW w:w="32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 Muntner</w:t>
            </w:r>
          </w:p>
        </w:tc>
      </w:tr>
      <w:tr>
        <w:trPr>
          <w:trHeight w:val="216"/>
        </w:trPr>
        <w:tc>
          <w:tcPr>
            <w:tcW w:w="3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280" w:type="dxa"/>
            <w:vAlign w:val="bottom"/>
          </w:tcPr>
          <w:p>
            <w:pPr>
              <w:spacing w:after="0"/>
              <w:rPr>
                <w:sz w:val="24"/>
                <w:szCs w:val="24"/>
                <w:color w:val="auto"/>
              </w:rPr>
            </w:pPr>
          </w:p>
        </w:tc>
        <w:tc>
          <w:tcPr>
            <w:tcW w:w="2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24</w:t>
            </w:r>
          </w:p>
        </w:tc>
        <w:tc>
          <w:tcPr>
            <w:tcW w:w="5000" w:type="dxa"/>
            <w:vAlign w:val="bottom"/>
          </w:tcPr>
          <w:p>
            <w:pPr>
              <w:spacing w:after="0"/>
              <w:rPr>
                <w:sz w:val="24"/>
                <w:szCs w:val="24"/>
                <w:color w:val="auto"/>
              </w:rPr>
            </w:pPr>
          </w:p>
        </w:tc>
      </w:tr>
      <w:tr>
        <w:trPr>
          <w:trHeight w:val="763"/>
        </w:trPr>
        <w:tc>
          <w:tcPr>
            <w:tcW w:w="32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SEPARATION AGREEMENT</w:t>
      </w:r>
    </w:p>
    <w:p>
      <w:pPr>
        <w:spacing w:after="0" w:line="206"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This Separation Agreement (“Agreement”) is made by and between Cardiff Oncology, Inc. (the “Company”) and Mark Erlander (“Employee”) (each a “Party” and collectively the “Parties”). In consideration for the execution of this Agreement, and the performance of the terms and conditions set forth herein, the Parties agree as follows:</w:t>
      </w:r>
    </w:p>
    <w:p>
      <w:pPr>
        <w:spacing w:after="0" w:line="160" w:lineRule="exact"/>
        <w:rPr>
          <w:sz w:val="20"/>
          <w:szCs w:val="20"/>
          <w:color w:val="auto"/>
        </w:rPr>
      </w:pPr>
    </w:p>
    <w:p>
      <w:pPr>
        <w:ind w:right="80" w:firstLine="757"/>
        <w:spacing w:after="0" w:line="236" w:lineRule="auto"/>
        <w:tabs>
          <w:tab w:leader="none" w:pos="10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Employee’s employment with the Company terminated effective March 27, 2026 (the “Separation Date”). By signing below, Employee acknowledges and agrees that other than as described in this Agreement and with respect to the Employee’s 2025 bonus (which the Parties agree is equal to $122,238 and will be paid by no later than April 30, 2026), Employee has received all wages owed, including accrued and unused vacation; has been reimbursed for all business expenses incurred in accordance with the Company’s expense reimbursement policy; and has received all other payments owed by law.</w:t>
      </w:r>
    </w:p>
    <w:p>
      <w:pPr>
        <w:spacing w:after="0" w:line="181" w:lineRule="exact"/>
        <w:rPr>
          <w:rFonts w:ascii="Times New Roman" w:cs="Times New Roman" w:eastAsia="Times New Roman" w:hAnsi="Times New Roman"/>
          <w:sz w:val="22"/>
          <w:szCs w:val="22"/>
          <w:color w:val="auto"/>
        </w:rPr>
      </w:pPr>
    </w:p>
    <w:p>
      <w:pPr>
        <w:ind w:right="100" w:firstLine="757"/>
        <w:spacing w:after="0" w:line="244" w:lineRule="auto"/>
        <w:tabs>
          <w:tab w:leader="none" w:pos="10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In consideration for the execution of this Agreement, and the performance of the terms and conditions set forth herein as well as receipt by the Company of the Employee’s resignation from the Company’s Board of Directors, the Parties hereby agree as follows:</w:t>
      </w:r>
    </w:p>
    <w:p>
      <w:pPr>
        <w:spacing w:after="0" w:line="187"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Cash Payments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right="180" w:firstLine="2254"/>
        <w:spacing w:after="0" w:line="258" w:lineRule="auto"/>
        <w:tabs>
          <w:tab w:leader="none" w:pos="253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pay Employee’s Base Compensation for twelve (12) months from the Separation Date. These payments will be made on the Company’s regular payroll dates.</w:t>
      </w:r>
    </w:p>
    <w:p>
      <w:pPr>
        <w:spacing w:after="0" w:line="166" w:lineRule="exact"/>
        <w:rPr>
          <w:rFonts w:ascii="Times New Roman" w:cs="Times New Roman" w:eastAsia="Times New Roman" w:hAnsi="Times New Roman"/>
          <w:sz w:val="22"/>
          <w:szCs w:val="22"/>
          <w:color w:val="auto"/>
        </w:rPr>
      </w:pPr>
    </w:p>
    <w:p>
      <w:pPr>
        <w:ind w:firstLine="2254"/>
        <w:spacing w:after="0" w:line="249" w:lineRule="auto"/>
        <w:tabs>
          <w:tab w:leader="none" w:pos="253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Company shall pay the Employee the equivalent of fifty percent (50%) of the Employee’s target bonus for 2026 (55% of Base Salary), with such payments to be made on a pro-rated basis for twelve (12) months from the Separation Date. These payments will be made on the Company’s regular payroll dates.</w:t>
      </w:r>
    </w:p>
    <w:p>
      <w:pPr>
        <w:spacing w:after="0" w:line="173" w:lineRule="exact"/>
        <w:rPr>
          <w:sz w:val="20"/>
          <w:szCs w:val="20"/>
          <w:color w:val="auto"/>
        </w:rPr>
      </w:pPr>
    </w:p>
    <w:p>
      <w:pPr>
        <w:ind w:right="10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Medical Insurance</w:t>
      </w:r>
      <w:r>
        <w:rPr>
          <w:rFonts w:ascii="Times New Roman" w:cs="Times New Roman" w:eastAsia="Times New Roman" w:hAnsi="Times New Roman"/>
          <w:sz w:val="22"/>
          <w:szCs w:val="22"/>
          <w:color w:val="auto"/>
        </w:rPr>
        <w:t>. The Company will reimburse Employee the same amount that he was receiving as his normal company co-pay for up to 12 months, provided that he maintains coverage either though COBRA or through an alternative source. This reimbursement will be provided within two weeks of each submission by Employee of proof of payment for medical insurance premiums. This payment will terminate if Employee obtains other employment through which he can obtain medical insurance.</w:t>
      </w:r>
    </w:p>
    <w:p>
      <w:pPr>
        <w:spacing w:after="0" w:line="150" w:lineRule="exact"/>
        <w:rPr>
          <w:sz w:val="20"/>
          <w:szCs w:val="20"/>
          <w:color w:val="auto"/>
        </w:rPr>
      </w:pPr>
    </w:p>
    <w:p>
      <w:pPr>
        <w:ind w:right="26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Good and Valuable Consideration.</w:t>
      </w:r>
      <w:r>
        <w:rPr>
          <w:rFonts w:ascii="Times New Roman" w:cs="Times New Roman" w:eastAsia="Times New Roman" w:hAnsi="Times New Roman"/>
          <w:sz w:val="22"/>
          <w:szCs w:val="22"/>
          <w:color w:val="auto"/>
        </w:rPr>
        <w:t xml:space="preserve"> The Parties expressly agree that the consideration set forth in Section 2 of this Agreement constitutes good and valuable consideration in addition to anything to which Employee is already entitled, and the Company has no independent legal duty to provide Employee with the consideration set forth in this Agreement, absent the terms of the Agreement itself. Employee understands and agrees that Employee will not receive the consideration specified herein, without Employee’s execution of this Agreement and the fulfillment of the promises contained herein.</w:t>
      </w:r>
    </w:p>
    <w:p>
      <w:pPr>
        <w:spacing w:after="0" w:line="195" w:lineRule="exact"/>
        <w:rPr>
          <w:sz w:val="20"/>
          <w:szCs w:val="20"/>
          <w:color w:val="auto"/>
        </w:rPr>
      </w:pPr>
    </w:p>
    <w:p>
      <w:pPr>
        <w:ind w:right="620" w:firstLine="1498"/>
        <w:spacing w:after="0" w:line="258"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Consulting Agreement.</w:t>
      </w:r>
      <w:r>
        <w:rPr>
          <w:rFonts w:ascii="Times New Roman" w:cs="Times New Roman" w:eastAsia="Times New Roman" w:hAnsi="Times New Roman"/>
          <w:sz w:val="22"/>
          <w:szCs w:val="22"/>
          <w:color w:val="auto"/>
        </w:rPr>
        <w:t xml:space="preserve"> On the date hereof, the Company will enter into an unpaid consulting agreement with the Employee (during which Employee’s equity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08" w:right="879" w:bottom="1440" w:gutter="0" w:footer="0" w:header="0"/>
        </w:sectPr>
      </w:pPr>
    </w:p>
    <w:bookmarkStart w:id="25" w:name="page26"/>
    <w:bookmarkEnd w:id="25"/>
    <w:p>
      <w:pPr>
        <w:ind w:right="500"/>
        <w:spacing w:after="0" w:line="258" w:lineRule="auto"/>
        <w:rPr>
          <w:sz w:val="20"/>
          <w:szCs w:val="20"/>
          <w:color w:val="auto"/>
        </w:rPr>
      </w:pPr>
      <w:r>
        <w:rPr>
          <w:rFonts w:ascii="Times New Roman" w:cs="Times New Roman" w:eastAsia="Times New Roman" w:hAnsi="Times New Roman"/>
          <w:sz w:val="22"/>
          <w:szCs w:val="22"/>
          <w:color w:val="auto"/>
        </w:rPr>
        <w:t>continue to vest) which will terminate on the date of the Company’s next annual stockholders meeting (the “Consulting Agreement Termination Date”).</w:t>
      </w:r>
    </w:p>
    <w:p>
      <w:pPr>
        <w:spacing w:after="0" w:line="158" w:lineRule="exact"/>
        <w:rPr>
          <w:sz w:val="20"/>
          <w:szCs w:val="20"/>
          <w:color w:val="auto"/>
        </w:rPr>
      </w:pPr>
    </w:p>
    <w:p>
      <w:pPr>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Nothing herein will alter the terms and conditions of Employee’s equity awards as set forth in Employee’s equity agreements; provided, however, that Employee will be entitled to exercise the purchase of his vested equity as of the Consulting Agreement Termination Date for a period of twelve (12) months after the Consulting Agreement Termination Date.</w:t>
      </w:r>
    </w:p>
    <w:p>
      <w:pPr>
        <w:spacing w:after="0" w:line="180" w:lineRule="exact"/>
        <w:rPr>
          <w:sz w:val="20"/>
          <w:szCs w:val="20"/>
          <w:color w:val="auto"/>
        </w:rPr>
      </w:pPr>
    </w:p>
    <w:p>
      <w:pPr>
        <w:ind w:right="120" w:firstLine="757"/>
        <w:spacing w:after="0" w:line="246" w:lineRule="auto"/>
        <w:tabs>
          <w:tab w:leader="none" w:pos="1009"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Release of Claims</w:t>
      </w:r>
      <w:r>
        <w:rPr>
          <w:rFonts w:ascii="Times New Roman" w:cs="Times New Roman" w:eastAsia="Times New Roman" w:hAnsi="Times New Roman"/>
          <w:sz w:val="21"/>
          <w:szCs w:val="21"/>
          <w:color w:val="auto"/>
        </w:rPr>
        <w:t>. Except as to such rights or claims as may be created by this Agreement, Employee, and anyone and any entity claiming through Employee, including but not limited to Employee’s heirs, administrators, successors in interest, assigns and agents, hereby release and forever discharge the Company and all of its past, present and future employees, officers, directors, members, agents, trustees, administrators, representatives, owners, shareholders, partners, insurers, fiduciaries, attorneys, subsidiaries, parent companies, affiliates, related entities, assigns, predecessors and successors in interest, and each and all of them, jointly and severally (collectively the “Released Parties”), from any and all liabilities, claims, causes of action, charges, complaints, obligations, costs, losses, damages, injuries, penalties, interest, attorneys’ fees, and other legal responsibilities, of any form whatsoever, whether known or unknown, unforeseen, unanticipated, unsuspected or latent, which Employee has at any time owned or held prior to Employee’s execution of this Agreement, including but not limited to, any and all claims arising out of, connected with, or relating to:</w:t>
      </w:r>
    </w:p>
    <w:p>
      <w:pPr>
        <w:spacing w:after="0" w:line="171" w:lineRule="exact"/>
        <w:rPr>
          <w:sz w:val="20"/>
          <w:szCs w:val="20"/>
          <w:color w:val="auto"/>
        </w:rPr>
      </w:pPr>
    </w:p>
    <w:p>
      <w:pPr>
        <w:ind w:left="1440" w:hanging="683"/>
        <w:spacing w:after="0"/>
        <w:tabs>
          <w:tab w:leader="none" w:pos="14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employment and/or the end of Employee’s employment with the Released Parties;</w:t>
      </w:r>
    </w:p>
    <w:p>
      <w:pPr>
        <w:spacing w:after="0" w:line="1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by the Released Parties;</w:t>
      </w:r>
    </w:p>
    <w:p>
      <w:pPr>
        <w:spacing w:after="0" w:line="3"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VII of the Civil Rights Act of 1964,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Civil Rights Act of 1991,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1981 through 1988 of Title 42 of the United States Code,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Discrimination in Employment Act of 1967,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Retirement Income Security Act of 1974,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Immigration Reform and Control Act,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Americans with Disabilities Act of 1990,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Labor Standards Act,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Workers Adjustment and Retraining Notification Act,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Occupational Safety and Health Act,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California Fair Employment and Housing Act,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California Labor Code,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California Private Attorney General Act,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Equal Pay Law, as amended;</w:t>
      </w:r>
    </w:p>
    <w:p>
      <w:pPr>
        <w:ind w:left="1500" w:hanging="743"/>
        <w:spacing w:after="0" w:line="230"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IWC Wage Orders, as amended;</w:t>
      </w:r>
    </w:p>
    <w:p>
      <w:pPr>
        <w:ind w:left="1480" w:right="860" w:hanging="723"/>
        <w:spacing w:after="0" w:line="258" w:lineRule="auto"/>
        <w:tabs>
          <w:tab w:leader="none" w:pos="14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federal, state or local law, regulation or municipal ordinance, including those regulating compensation and those prohibiting discrimination, harassment, or retaliation of any kind;</w:t>
      </w:r>
    </w:p>
    <w:p>
      <w:pPr>
        <w:spacing w:after="0" w:line="10" w:lineRule="exact"/>
        <w:rPr>
          <w:rFonts w:ascii="Times New Roman" w:cs="Times New Roman" w:eastAsia="Times New Roman" w:hAnsi="Times New Roman"/>
          <w:sz w:val="21"/>
          <w:szCs w:val="21"/>
          <w:color w:val="auto"/>
        </w:rPr>
      </w:pPr>
    </w:p>
    <w:p>
      <w:pPr>
        <w:ind w:left="1440" w:right="1100" w:hanging="683"/>
        <w:spacing w:after="0" w:line="258" w:lineRule="auto"/>
        <w:tabs>
          <w:tab w:leader="none" w:pos="14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based on violation of public policy, breach of contract, tort, fraud, misrepresentation, defamation, or any other common law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22" w:right="739" w:bottom="1440" w:gutter="0" w:footer="0" w:header="0"/>
        </w:sectPr>
      </w:pPr>
    </w:p>
    <w:bookmarkStart w:id="26" w:name="page27"/>
    <w:bookmarkEnd w:id="26"/>
    <w:p>
      <w:pPr>
        <w:ind w:left="1460" w:right="780" w:hanging="703"/>
        <w:spacing w:after="0" w:line="241" w:lineRule="auto"/>
        <w:tabs>
          <w:tab w:leader="none" w:pos="14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damages of any kind, including but not limited to compensatory damages, emotional distress damages, liquidated damages, punitive damages, or penalties; or</w:t>
      </w:r>
    </w:p>
    <w:p>
      <w:pPr>
        <w:spacing w:after="0" w:line="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costs, fees, interest, or other expenses, including attorneys’ fees.</w:t>
      </w:r>
    </w:p>
    <w:p>
      <w:pPr>
        <w:spacing w:after="0" w:line="18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The foregoing general release does not apply to any of Employee’s claims that cannot be released as a matter of law and does not limit any rights Employee may have under the National Labor Relations Act. The Parties agree and acknowledge that the release and waiver set forth above shall not prevent Employee from participating in or cooperating with any state or federal agency’s investigation or charge of discrimination, including the Equal Employment Opportunity Commission (“EEOC”). The Parties further agree and acknowledge that nothing in the Agreement prevents or prohibits Employee from filing a charge of discrimination with a state or federal agency, including the EEOC. However, Employee understands and agrees that Employee is giving up the opportunity to recover any compensation, damages, or any other form of relief in any proceeding brought by Employee or on Employee’s behalf.</w:t>
      </w:r>
    </w:p>
    <w:p>
      <w:pPr>
        <w:spacing w:after="0" w:line="178" w:lineRule="exact"/>
        <w:rPr>
          <w:sz w:val="20"/>
          <w:szCs w:val="20"/>
          <w:color w:val="auto"/>
        </w:rPr>
      </w:pPr>
    </w:p>
    <w:p>
      <w:pPr>
        <w:ind w:right="140" w:firstLine="757"/>
        <w:spacing w:after="0" w:line="233" w:lineRule="auto"/>
        <w:tabs>
          <w:tab w:leader="none" w:pos="100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Older Worker’s Benefit Protection Act</w:t>
      </w:r>
      <w:r>
        <w:rPr>
          <w:rFonts w:ascii="Times New Roman" w:cs="Times New Roman" w:eastAsia="Times New Roman" w:hAnsi="Times New Roman"/>
          <w:sz w:val="22"/>
          <w:szCs w:val="22"/>
          <w:color w:val="auto"/>
        </w:rPr>
        <w:t xml:space="preserve">. This Agreement constitutes a knowing and voluntary waiver of any and all rights or claims that Employee has or may have under the Federal Age Discrimination in Employment Act, as amended by the Older Workers’ Benefit Protection Act of 1990, 29 U.S.C. §§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This paragraph and this Agreement are written in a manner calculated to be understood by Employee. Employee is hereby advised in writing to consult with an attorney before signing this Agreement. Employee has had a reasonable time of up to 21 days in which to consider signing this Agreement. If Employee decides not to use all 21 days, Employee knowingly and voluntarily waives any claims that Employee was not given the 21-day period or did not use the entire 21 days to consider this Agreement. Employee may revoke this Agreement at any time within the 7-day period following the date Employee signs this Agreement by providing written notice of revocation to the Company by email to Mani Mohindru at mmohindru@cardiffoncology.com so that said revocation notice is received before the expiration of the 7-day revocation period (the “Revocation Period”). If Employee revokes the Agreement within the Revocation Period, Employee will not receive the consideration set forth in the Agreement.</w:t>
      </w:r>
    </w:p>
    <w:p>
      <w:pPr>
        <w:spacing w:after="0" w:line="184"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Unknown Claims</w:t>
      </w:r>
      <w:r>
        <w:rPr>
          <w:rFonts w:ascii="Times New Roman" w:cs="Times New Roman" w:eastAsia="Times New Roman" w:hAnsi="Times New Roman"/>
          <w:sz w:val="22"/>
          <w:szCs w:val="22"/>
          <w:color w:val="auto"/>
        </w:rPr>
        <w:t>. Employee has reviewed and hereby expressly waives the provisions of Section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1542 of the California Civil Code, which provides as follows:</w:t>
      </w:r>
    </w:p>
    <w:p>
      <w:pPr>
        <w:spacing w:after="0" w:line="169" w:lineRule="exact"/>
        <w:rPr>
          <w:sz w:val="20"/>
          <w:szCs w:val="20"/>
          <w:color w:val="auto"/>
        </w:rPr>
      </w:pPr>
    </w:p>
    <w:p>
      <w:pPr>
        <w:ind w:left="1500"/>
        <w:spacing w:after="0" w:line="238"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3" w:lineRule="exact"/>
        <w:rPr>
          <w:sz w:val="20"/>
          <w:szCs w:val="20"/>
          <w:color w:val="auto"/>
        </w:rPr>
      </w:pPr>
    </w:p>
    <w:p>
      <w:pPr>
        <w:ind w:right="820"/>
        <w:spacing w:after="0" w:line="241" w:lineRule="auto"/>
        <w:rPr>
          <w:sz w:val="20"/>
          <w:szCs w:val="20"/>
          <w:color w:val="auto"/>
        </w:rPr>
      </w:pPr>
      <w:r>
        <w:rPr>
          <w:rFonts w:ascii="Times New Roman" w:cs="Times New Roman" w:eastAsia="Times New Roman" w:hAnsi="Times New Roman"/>
          <w:sz w:val="22"/>
          <w:szCs w:val="22"/>
          <w:color w:val="auto"/>
        </w:rPr>
        <w:t>This Agreement extends to all claims or causes of action, of every nature and kind whatsoever, known or unknown, suspected or unsuspected, enumerated in this Agreement or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may hereafter discover presently unknown facts or claims different from or in addition</w:t>
      </w:r>
    </w:p>
    <w:p>
      <w:pPr>
        <w:spacing w:after="0" w:line="3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to those that Employee now knows as to the matters released herein. Nevertheless, it is Employee’s intention, through this Agreement, to fully release all such matters and all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368" w:right="7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related thereto, which do now exist, may exist or heretofore have existed.</w:t>
      </w:r>
    </w:p>
    <w:p>
      <w:pPr>
        <w:spacing w:after="0" w:line="206" w:lineRule="exact"/>
        <w:rPr>
          <w:sz w:val="20"/>
          <w:szCs w:val="20"/>
          <w:color w:val="auto"/>
        </w:rPr>
      </w:pPr>
    </w:p>
    <w:p>
      <w:pPr>
        <w:ind w:right="120" w:firstLine="757"/>
        <w:spacing w:after="0" w:line="239" w:lineRule="auto"/>
        <w:tabs>
          <w:tab w:leader="none" w:pos="100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 Employee has not, and will not, directly or indirectly institute any legal action against the Released Parties based upon, arising out of, or relating to any claims released in this Agreement, to the extent allowed by law. Employee has not, and will not, directly or indirectly encourage and/or solicit any third party to institute any legal action against the Employee or Released Parties, to the extent allowed by law.</w:t>
      </w:r>
    </w:p>
    <w:p>
      <w:pPr>
        <w:spacing w:after="0" w:line="180" w:lineRule="exact"/>
        <w:rPr>
          <w:rFonts w:ascii="Times New Roman" w:cs="Times New Roman" w:eastAsia="Times New Roman" w:hAnsi="Times New Roman"/>
          <w:sz w:val="22"/>
          <w:szCs w:val="22"/>
          <w:color w:val="auto"/>
        </w:rPr>
      </w:pPr>
    </w:p>
    <w:p>
      <w:pPr>
        <w:ind w:right="440" w:firstLine="757"/>
        <w:spacing w:after="0" w:line="244" w:lineRule="auto"/>
        <w:tabs>
          <w:tab w:leader="none" w:pos="100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Inquiries</w:t>
      </w:r>
      <w:r>
        <w:rPr>
          <w:rFonts w:ascii="Times New Roman" w:cs="Times New Roman" w:eastAsia="Times New Roman" w:hAnsi="Times New Roman"/>
          <w:sz w:val="22"/>
          <w:szCs w:val="22"/>
          <w:color w:val="auto"/>
        </w:rPr>
        <w:t>. The Company will respond to any inquiries about Employee’s employment by providing only Employee’s dates of employment and job titles. Employee will direct all such inquiries only to Mani Mohindru, interim CEO by email at mmohindru@cardiffoncology.com.</w:t>
      </w:r>
    </w:p>
    <w:p>
      <w:pPr>
        <w:spacing w:after="0" w:line="173" w:lineRule="exact"/>
        <w:rPr>
          <w:rFonts w:ascii="Times New Roman" w:cs="Times New Roman" w:eastAsia="Times New Roman" w:hAnsi="Times New Roman"/>
          <w:sz w:val="22"/>
          <w:szCs w:val="22"/>
          <w:color w:val="auto"/>
        </w:rPr>
      </w:pPr>
    </w:p>
    <w:p>
      <w:pPr>
        <w:ind w:right="440" w:firstLine="757"/>
        <w:spacing w:after="0" w:line="244" w:lineRule="auto"/>
        <w:tabs>
          <w:tab w:leader="none" w:pos="100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Workplace Injuries</w:t>
      </w:r>
      <w:r>
        <w:rPr>
          <w:rFonts w:ascii="Times New Roman" w:cs="Times New Roman" w:eastAsia="Times New Roman" w:hAnsi="Times New Roman"/>
          <w:sz w:val="22"/>
          <w:szCs w:val="22"/>
          <w:color w:val="auto"/>
        </w:rPr>
        <w:t>. Employee has not sustained any workplace injury of any kind during Employee’s employment with the Company, and Employee does not intend to file any claim for or seek any workers’ compensation benefits.</w:t>
      </w:r>
    </w:p>
    <w:p>
      <w:pPr>
        <w:spacing w:after="0" w:line="159" w:lineRule="exact"/>
        <w:rPr>
          <w:rFonts w:ascii="Times New Roman" w:cs="Times New Roman" w:eastAsia="Times New Roman" w:hAnsi="Times New Roman"/>
          <w:sz w:val="22"/>
          <w:szCs w:val="22"/>
          <w:color w:val="auto"/>
        </w:rPr>
      </w:pPr>
    </w:p>
    <w:p>
      <w:pPr>
        <w:ind w:right="20" w:firstLine="757"/>
        <w:spacing w:after="0" w:line="246" w:lineRule="auto"/>
        <w:tabs>
          <w:tab w:leader="none" w:pos="100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Confidential, Trade Secret, or Proprietary Information</w:t>
      </w:r>
      <w:r>
        <w:rPr>
          <w:rFonts w:ascii="Times New Roman" w:cs="Times New Roman" w:eastAsia="Times New Roman" w:hAnsi="Times New Roman"/>
          <w:sz w:val="21"/>
          <w:szCs w:val="21"/>
          <w:color w:val="auto"/>
        </w:rPr>
        <w:t>. Employee agrees that Employee will not use any Trade Secrets, Confidential Information, or Proprietary Information in order to divert any business of the Company and/or its affiliates or any customers or suppliers of the Company and/or its affiliates’ business to any other person, entity, or competitor. Employee acknowledges and agrees that Employee’s obligations provided herein are necessary and reasonable in order to protect the Company and its affiliates and their respective business and Employee expressly agrees that monetary damages would be inadequate to compensate the Company and/or its affiliates for any breach by Employee of Employee’s covenants and agreements set forth herein. Accordingly, Employee agrees and acknowledges that any such violation of this Section 9 will cause irreparable injury to the Company and that, in addition to any other remedies that may be available, in law, in equity or otherwise, the Company and its affiliates shall be entitled to seek injunctive relief against the breach of this Section 9 or the continuation of any such breach by the Employee without the necessity of proving actual damages.</w:t>
      </w:r>
    </w:p>
    <w:p>
      <w:pPr>
        <w:spacing w:after="0" w:line="171"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Non-Disclosure of Trade Secrets, Confidential or Proprietary Information</w:t>
      </w:r>
      <w:r>
        <w:rPr>
          <w:rFonts w:ascii="Times New Roman" w:cs="Times New Roman" w:eastAsia="Times New Roman" w:hAnsi="Times New Roman"/>
          <w:sz w:val="22"/>
          <w:szCs w:val="22"/>
          <w:color w:val="auto"/>
        </w:rPr>
        <w:t>. Employee will not, for any reason, disclose to others or use for the benefit of anyone other than the Company any trade secret, confidential or proprietary information of the Company, including, but not limited to information relating to the Company’s customers, employees, consultants, affiliates, partners, products, services, know-how, techniques, computer systems, programs, policies and procedures, research, projects, future developments, costs, profits, pricing, customer and client information. The use of any trade secret, confidential or proprietary information belonging to the Company shall be a material breach of this Agreement. Notwithstanding anything contained herein or in any other confidentiality provision to which Employee may be or may have been subject as a result of Employee’s employment with the Company, nothing shall prohibit Employee from communicating with government authorities concerning any possible legal violations. The Company nonetheless asserts and does not waive its attorney-client privilege over any information appropriately protected by the privilege.</w:t>
      </w:r>
    </w:p>
    <w:p>
      <w:pPr>
        <w:spacing w:after="0" w:line="3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Employee is advised that pursuant to the Defend Trade Secrets Act an individual shall not be held criminally or civilly liable under any federal or state trade secret law for the disclosure of a trade secret that (a) is made (i) in confidence to a federal, state, or local government official,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22" w:right="799" w:bottom="1440" w:gutter="0" w:footer="0" w:header="0"/>
        </w:sectPr>
      </w:pPr>
    </w:p>
    <w:bookmarkStart w:id="28" w:name="page29"/>
    <w:bookmarkEnd w:id="28"/>
    <w:p>
      <w:pPr>
        <w:spacing w:after="0" w:line="234" w:lineRule="auto"/>
        <w:rPr>
          <w:sz w:val="20"/>
          <w:szCs w:val="20"/>
          <w:color w:val="auto"/>
        </w:rPr>
      </w:pPr>
      <w:r>
        <w:rPr>
          <w:rFonts w:ascii="Times New Roman" w:cs="Times New Roman" w:eastAsia="Times New Roman" w:hAnsi="Times New Roman"/>
          <w:sz w:val="22"/>
          <w:szCs w:val="22"/>
          <w:color w:val="auto"/>
        </w:rPr>
        <w:t>either directly or indirectly, or to an attorney; and (ii) solely for the purpose of reporting or investigating a suspected violation of law; or (b) is made in a complaint or other document filed in a lawsuit or other proceeding, if such filing is made under seal. However, Employee understands that in the event that disclosure of the Company’s trade secrets was not done in good faith pursuant to the above, Employee will be subject to substantial damages, including punitive damages and attorneys’ fees. Employee acknowledges that these obligations are supplemental to, and do not replace or alter, his existing obligations pursuant to the Cardiff Oncology Inc.</w:t>
      </w:r>
    </w:p>
    <w:p>
      <w:pPr>
        <w:spacing w:after="0" w:line="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Amended and Restated Employment Agreement executed on February 23, 2021 (“Employment Agreement”); and General Employment Terms &amp; Conditions, that he executed on January 28, 2013, or any other similar documents; provided, however, that the Company agrees that the noncompetition provisions in Section 15 of the Employment Agreement are null and void.</w:t>
      </w:r>
    </w:p>
    <w:p>
      <w:pPr>
        <w:spacing w:after="0" w:line="191" w:lineRule="exact"/>
        <w:rPr>
          <w:sz w:val="20"/>
          <w:szCs w:val="20"/>
          <w:color w:val="auto"/>
        </w:rPr>
      </w:pPr>
    </w:p>
    <w:p>
      <w:pPr>
        <w:ind w:left="1500" w:hanging="743"/>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after Separation</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60" w:firstLine="1497"/>
        <w:spacing w:after="0" w:line="234" w:lineRule="auto"/>
        <w:rPr>
          <w:sz w:val="20"/>
          <w:szCs w:val="20"/>
          <w:color w:val="auto"/>
        </w:rPr>
      </w:pPr>
      <w:r>
        <w:rPr>
          <w:rFonts w:ascii="Times New Roman" w:cs="Times New Roman" w:eastAsia="Times New Roman" w:hAnsi="Times New Roman"/>
          <w:sz w:val="22"/>
          <w:szCs w:val="22"/>
          <w:color w:val="auto"/>
        </w:rPr>
        <w:t>11.1 During the 1-year severance period, Employee will be expected to provide such assistance to the Company and its counsel as they may request in regard to any matters of which Employee has particular knowledge as a result of Employee’s employment with the Company. Such assistance shall include, but is not limited to, answering any inquiries the Company may have or receive regarding the execution of Employee’s past duties at the Company, acting as a resource person in matters relevant to Employee’s knowledge and experience with the Company, providing information and answers in response to interrogatories or other discovery, giving sworn statements and testifying in arbitrations, depositions and/or trials, and committing to be available, upon reasonable notice, to meet with the Company and its attorneys to adequately prepare for any and all proceedings associated with pending or threatened litigation or arbitration involving the Company. Employee shall not be obligated to provide assistance that would unreasonably and materially interfere with Employee’s business or personal activities.</w:t>
      </w:r>
    </w:p>
    <w:p>
      <w:pPr>
        <w:spacing w:after="0" w:line="179" w:lineRule="exact"/>
        <w:rPr>
          <w:sz w:val="20"/>
          <w:szCs w:val="20"/>
          <w:color w:val="auto"/>
        </w:rPr>
      </w:pPr>
    </w:p>
    <w:p>
      <w:pPr>
        <w:ind w:right="580" w:firstLine="1498"/>
        <w:spacing w:after="0" w:line="244" w:lineRule="auto"/>
        <w:rPr>
          <w:sz w:val="20"/>
          <w:szCs w:val="20"/>
          <w:color w:val="auto"/>
        </w:rPr>
      </w:pPr>
      <w:r>
        <w:rPr>
          <w:rFonts w:ascii="Times New Roman" w:cs="Times New Roman" w:eastAsia="Times New Roman" w:hAnsi="Times New Roman"/>
          <w:sz w:val="22"/>
          <w:szCs w:val="22"/>
          <w:color w:val="auto"/>
        </w:rPr>
        <w:t>11.2 In the event that travel or other expenses are incurred by Employee in connection with such assistance or in the event Employee’s deposition is required, the reasonable travel costs and out-of-pocket expenses in connection therewith shall be reimbursed by the Company.</w:t>
      </w:r>
    </w:p>
    <w:p>
      <w:pPr>
        <w:spacing w:after="0" w:line="187" w:lineRule="exact"/>
        <w:rPr>
          <w:sz w:val="20"/>
          <w:szCs w:val="20"/>
          <w:color w:val="auto"/>
        </w:rPr>
      </w:pPr>
    </w:p>
    <w:p>
      <w:pPr>
        <w:ind w:right="500" w:firstLine="749"/>
        <w:spacing w:after="0" w:line="236"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Return of All the Company Materials</w:t>
      </w:r>
      <w:r>
        <w:rPr>
          <w:rFonts w:ascii="Times New Roman" w:cs="Times New Roman" w:eastAsia="Times New Roman" w:hAnsi="Times New Roman"/>
          <w:sz w:val="22"/>
          <w:szCs w:val="22"/>
          <w:color w:val="auto"/>
        </w:rPr>
        <w:t>. Employee acknowledges that he has returned to the Company all the Company’s records, documents, electronically stored information, and tangible embodiments of such, in Employee’s possession, including but not limited to the Company’s trade secrets, confidential information and proprietary information. Employee confirms that Employee has already returned to the Company all property of the Company, including but not limited to automobiles, keys, key cards, cellular phones, credit cards, personal and laptop computers, and any other electronic equipment.</w:t>
      </w:r>
    </w:p>
    <w:p>
      <w:pPr>
        <w:spacing w:after="0" w:line="168" w:lineRule="exact"/>
        <w:rPr>
          <w:sz w:val="20"/>
          <w:szCs w:val="20"/>
          <w:color w:val="auto"/>
        </w:rPr>
      </w:pPr>
    </w:p>
    <w:p>
      <w:pPr>
        <w:jc w:val="both"/>
        <w:ind w:right="580" w:firstLine="749"/>
        <w:spacing w:after="0" w:line="24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Agreement Not to Participate in Class or Representative Actions</w:t>
      </w:r>
      <w:r>
        <w:rPr>
          <w:rFonts w:ascii="Times New Roman" w:cs="Times New Roman" w:eastAsia="Times New Roman" w:hAnsi="Times New Roman"/>
          <w:sz w:val="22"/>
          <w:szCs w:val="22"/>
          <w:color w:val="auto"/>
        </w:rPr>
        <w:t>. Employee agrees not to bring or participate in any class, representative, PAGA or other similar action against Company, and agrees that Employee will opt out of any such action to the extent</w:t>
      </w: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Employee shall not make any defamatory remarks about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22" w:right="779" w:bottom="1440" w:gutter="0" w:footer="0" w:header="0"/>
        </w:sectPr>
      </w:pPr>
    </w:p>
    <w:bookmarkStart w:id="29" w:name="page30"/>
    <w:bookmarkEnd w:id="29"/>
    <w:p>
      <w:pPr>
        <w:spacing w:after="0" w:line="131" w:lineRule="exact"/>
        <w:rPr>
          <w:sz w:val="20"/>
          <w:szCs w:val="20"/>
          <w:color w:val="auto"/>
        </w:rPr>
      </w:pPr>
    </w:p>
    <w:p>
      <w:pPr>
        <w:ind w:right="360"/>
        <w:spacing w:after="0" w:line="235" w:lineRule="auto"/>
        <w:rPr>
          <w:sz w:val="20"/>
          <w:szCs w:val="20"/>
          <w:color w:val="auto"/>
        </w:rPr>
      </w:pPr>
      <w:r>
        <w:rPr>
          <w:rFonts w:ascii="Times New Roman" w:cs="Times New Roman" w:eastAsia="Times New Roman" w:hAnsi="Times New Roman"/>
          <w:sz w:val="22"/>
          <w:szCs w:val="22"/>
          <w:color w:val="auto"/>
        </w:rPr>
        <w:t>Company or its current or former employees, verbally or in writing, including without limitation posting on social media applications such as YouTube, Facebook, X (f.k.a. Twitter), LinkedIn, blogs, or other public fora, or otherwise take any action that could reasonably be anticipated to cause damage to the reputation, goodwill, or business of the Company. The Company’s executive officers and members of its Board of Directors shall not make any defamatory remarks about the Employee, verbally or in writing, including without limitation posting on social media applications such as YouTube, Facebook, X (f.k.a. Twitter), LinkedIn, blogs, or other public fora, or otherwise take any action that could reasonably be anticipated to cause damage to the reputation, goodwill, or business of the Employee.</w:t>
      </w:r>
    </w:p>
    <w:p>
      <w:pPr>
        <w:spacing w:after="0" w:line="183"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Non-Disclosure.</w:t>
      </w:r>
      <w:r>
        <w:rPr>
          <w:rFonts w:ascii="Times New Roman" w:cs="Times New Roman" w:eastAsia="Times New Roman" w:hAnsi="Times New Roman"/>
          <w:sz w:val="22"/>
          <w:szCs w:val="22"/>
          <w:color w:val="auto"/>
        </w:rPr>
        <w:t xml:space="preserve"> Employee agrees not to disclose the terms of this Agreement, or the fact of its existence or execution, to anyone other than Employee’s immediate family members, attorneys, financial advisors, or accountants (provided that Employee obtains such person’s written agreement not to disclose the fact or terms of this Agreement and that a breach by such person shall be considered a breach by Employee), governmental taxing authorities, or pursuant to a subpoena or order of a court of competent jurisdiction, or to the SEC, OSHA, EEOC, CRD, or NLRB to the extent such disclosures are permitted by law. </w:t>
      </w:r>
      <w:r>
        <w:rPr>
          <w:rFonts w:ascii="Times New Roman" w:cs="Times New Roman" w:eastAsia="Times New Roman" w:hAnsi="Times New Roman"/>
          <w:sz w:val="22"/>
          <w:szCs w:val="22"/>
          <w:color w:val="424448"/>
        </w:rPr>
        <w:t>Nothing in this provision or this Agreement (i)</w:t>
      </w:r>
      <w:r>
        <w:rPr>
          <w:rFonts w:ascii="Times New Roman" w:cs="Times New Roman" w:eastAsia="Times New Roman" w:hAnsi="Times New Roman"/>
          <w:sz w:val="22"/>
          <w:szCs w:val="22"/>
          <w:color w:val="auto"/>
        </w:rPr>
        <w:t xml:space="preserve"> shall prevent Employee from discussing or disclosing information about unlawful acts in the workplace, such as harassment or discrimination or any other conduct that Employee has reason to believe is unlawful; or (ii) </w:t>
      </w:r>
      <w:r>
        <w:rPr>
          <w:rFonts w:ascii="Times New Roman" w:cs="Times New Roman" w:eastAsia="Times New Roman" w:hAnsi="Times New Roman"/>
          <w:sz w:val="22"/>
          <w:szCs w:val="22"/>
          <w:color w:val="424448"/>
        </w:rPr>
        <w:t>shall</w:t>
      </w:r>
      <w:r>
        <w:rPr>
          <w:rFonts w:ascii="Times New Roman" w:cs="Times New Roman" w:eastAsia="Times New Roman" w:hAnsi="Times New Roman"/>
          <w:sz w:val="22"/>
          <w:szCs w:val="22"/>
          <w:color w:val="auto"/>
        </w:rPr>
        <w:t xml:space="preserve"> prevent the disclosure of factual information that is related to a claim filed in a civil action or a complaint filed in an administrative action concerning alleged criminal conduct or alleged sexual harassment on the part of Company or any other Company Entity, or regarding any sexual assault, sexual abuse, sexual harassment, workplace harassment or discrimination, a failure to prevent an act workplace harassment or discrimination, or retaliation against a person for reporting workplace harassment or discrimination, when Employee has been required or requested to attend the proceeding pursuant to a court order, subpoena, or written request from an administrative agency or the legislature. Nothing in this Agreement shall prevent Employee from engaging in any form of concerted activity that is protected by Section 7 of the National Labor Relations Act, which is codified at 29 U.S.C. § 157. Information about such rights is available to Employee on the National Labor Relations Board’s website, www.nlrb.gov. Nothing in this Agreement shall prevent Employee from disclosing this Agreement or its contents either: (a) to current or former coworkers as part of a concerted activity protected by Section 7 of the National Labor Relations Act (codified at 29 U.S.C. § 157, and discussed at www.nlrb.gov); (b) to Employee’s union representatives; or (c) to a federal, state, or local court or administrative agency in connection with any claim that some portion of this Agreement is unlawful or is evidence of unlawful conduct.</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the event Employee or the Company directly or indirectly breaches (or causes others to breach) the confidentiality provisions of Sections 14 or 15, the Parties stipulate and agree that that damages for the breach of such obligation would be, and are, difficult and impractical to ascertain. The Parties further acknowledge and agree that there is a benefit to each Party in fixing a limitation on damages based on good faith estimates of the</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1"/>
          <w:szCs w:val="21"/>
          <w:color w:val="auto"/>
        </w:rPr>
        <w:t>damages expected in the event of a breach of the confidentiality provisions of Sections14 or 15. Accordingly, the breaching party agrees to pay the non-breaching party the sum of Ten Thousand Dollars ($10,000.00) for each incident of breach of the confidentiality and non-disclosure obligations of this Sections 14 or 15, representing a sum that the Parties agree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30" w:name="page31"/>
    <w:bookmarkEnd w:id="30"/>
    <w:p>
      <w:pPr>
        <w:spacing w:after="0" w:line="235" w:lineRule="auto"/>
        <w:rPr>
          <w:sz w:val="20"/>
          <w:szCs w:val="20"/>
          <w:color w:val="auto"/>
        </w:rPr>
      </w:pPr>
      <w:r>
        <w:rPr>
          <w:rFonts w:ascii="Times New Roman" w:cs="Times New Roman" w:eastAsia="Times New Roman" w:hAnsi="Times New Roman"/>
          <w:sz w:val="22"/>
          <w:szCs w:val="22"/>
          <w:color w:val="auto"/>
        </w:rPr>
        <w:t>reasonable in light of the circumstances existing at the time of this Agreement. Any claimed breach of the non-disclosure/confidentially obligations of Sections 14 or 15 shall be proved by a preponderance of the evidence, and the prevailing party in any action brought for violation of Sections 14 or 15 shall be entitled to recover its reasonable attorney’s fees and costs as determined by a Court of competent jurisdiction. The Parties acknowledge and agree that this provision for liquidated damages does not constitute a penalty or forfeiture within the meaning of Civil Code sections 3275 or 3369 or any other provision of California law. Neither the breach of this Section 16 nor the payment of liquidated damages by the Parties shall affect the continuing validity or enforceability of this Agreement.</w:t>
      </w:r>
    </w:p>
    <w:p>
      <w:pPr>
        <w:spacing w:after="0" w:line="183" w:lineRule="exact"/>
        <w:rPr>
          <w:sz w:val="20"/>
          <w:szCs w:val="20"/>
          <w:color w:val="auto"/>
        </w:rPr>
      </w:pPr>
    </w:p>
    <w:p>
      <w:pPr>
        <w:ind w:right="80" w:firstLine="749"/>
        <w:spacing w:after="0" w:line="232"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CIRCULAR 230 DISCLAIMER</w:t>
      </w:r>
      <w:r>
        <w:rPr>
          <w:rFonts w:ascii="Times New Roman" w:cs="Times New Roman" w:eastAsia="Times New Roman" w:hAnsi="Times New Roman"/>
          <w:sz w:val="22"/>
          <w:szCs w:val="22"/>
          <w:color w:val="auto"/>
        </w:rPr>
        <w:t>. EMPLOYEE (FOR PURPOSES OF THIS SECTION, THE “ACKNOWLEDGING PARTY”; AND EACH PARTY TO THIS AGREEMENT OTHER THAN THE ACKNOWLEDGING PARTY, AN “OTHER PARTY”) ACKNOWLEDGES AND AGREES: (1) NO PROVISION OF THIS AGREEMENT, AND NO WRITTEN COMMUNICATION OR DISCLOSURE BETWEEN OR AMONG THE PARTIES OR THEIR ATTORNEYS AND OTHER ADVISERS, IS OR WAS INTENDED TO BE, NOR SHALL ANY SUCH COMMUNICATION OR DISCLOSURE CONSTITUTE OR BE CONSTRUED OR BE RELIED UPON AS, TAX ADVICE WITHIN THE MEANING OF UNITED STATES TREASURY DEPARTMENT CIRCULAR 230 (31 CFR PART 10, AS AMENDED); (2) THE ACKNOWLEDGING PARTY (A) HAS RELIED EXCLUSIVELY UPON HIS, HER OR ITS OWN INDEPENDENT LEGAL AND TAX ADVISERS FOR ADVICE (INCLUDING TAX ADVICE) IN CONNECTION WITH THIS AGREEMENT,</w:t>
      </w:r>
    </w:p>
    <w:p>
      <w:pPr>
        <w:spacing w:after="0" w:line="9" w:lineRule="exact"/>
        <w:rPr>
          <w:sz w:val="20"/>
          <w:szCs w:val="20"/>
          <w:color w:val="auto"/>
        </w:rPr>
      </w:pPr>
    </w:p>
    <w:p>
      <w:pPr>
        <w:ind w:right="160" w:firstLine="8"/>
        <w:spacing w:after="0" w:line="232" w:lineRule="auto"/>
        <w:tabs>
          <w:tab w:leader="none" w:pos="34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ENTERED INTO THIS AGREEMENT BASED UPON THE RECOMMENDATION OF ANY OTHER PARTY OR ANY ATTORNEY OR ADVISOR TO ANY OTHER PARTY, AND (C) IS NOT ENTITLED TO RELY UPON ANY COMMUNICATION OR DISCLOSURE BY ANY ATTORNEY OR ADVISER TO ANY OTHER PARTY TO AVOID ANY TAX PENALTY THAT MAY BE IMPOSED ON THE ACKNOWLEDGING PARTY; AND (3) NO ATTORNEY OR ADVISER TO ANY OTHER PARTY HAS IMPOSED ANY LIMITATION THAT PROTECTS THE CONFIDENTIALITY OF ANY SUCH ATTORNEY’S OR ADVISER’S TAX STRATEGIES (REGARDLESS OF WHETHER SUCH LIMITATION IS LEGALLY BINDING) UPON DISCLOSURE BY THE ACKNOWLEDGING PARTY OF THE TAX TREATMENT OR TAX STRUCTURE OF ANY TRANSACTION, INCLUDING ANY TRANSACTION CONTEMPLATED BY THIS AGREEMENT.</w:t>
      </w:r>
    </w:p>
    <w:p>
      <w:pPr>
        <w:spacing w:after="0" w:line="178"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Except for claims for emergency equitable or injunctive relief which cannot be timely addressed through arbitration, the Parties agree to submit any claim or dispute arising out of the terms of this Agreement to private and confidential arbitration by a single neutral arbitrator through Judicial Arbitration and Mediation Services, Inc. (“JAMS”). The JAMS Streamlined Arbitration Rules &amp; Procedures in effect at the time of the claim or dispute is arbitrated will govern the procedure for the arbitration proceedings between the Parties. The arbitration shall take place in San Diego County, California. The arbitrator in this matter shall</w:t>
      </w:r>
    </w:p>
    <w:p>
      <w:pPr>
        <w:spacing w:after="0" w:line="3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not have the power to modify any of the provisions of this Agreement. The decision of the arbitrator shall be final and binding on all Parties to this Agreement, and judgment thereon may be entered in any court having jurisdiction. The Party initiating the arbitration shall advance the arbitrator’s fee and all costs of services provided by the arbitrator and arbitration organization. However, all the costs of the arbitration proceeding or litigation to enforce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22" w:right="779" w:bottom="1440" w:gutter="0" w:footer="0" w:header="0"/>
        </w:sectPr>
      </w:pPr>
    </w:p>
    <w:bookmarkStart w:id="31" w:name="page32"/>
    <w:bookmarkEnd w:id="31"/>
    <w:p>
      <w:pPr>
        <w:ind w:right="340"/>
        <w:spacing w:after="0" w:line="258" w:lineRule="auto"/>
        <w:rPr>
          <w:sz w:val="20"/>
          <w:szCs w:val="20"/>
          <w:color w:val="auto"/>
        </w:rPr>
      </w:pPr>
      <w:r>
        <w:rPr>
          <w:rFonts w:ascii="Times New Roman" w:cs="Times New Roman" w:eastAsia="Times New Roman" w:hAnsi="Times New Roman"/>
          <w:sz w:val="22"/>
          <w:szCs w:val="22"/>
          <w:color w:val="auto"/>
        </w:rPr>
        <w:t>including attorneys’ fees and costs, shall be paid as the arbitrator or court awards in accordance with applicable law. The Parties hereby waive any right to a jury trial on any dispute or claim covered by this Agreement.</w:t>
      </w:r>
    </w:p>
    <w:p>
      <w:pPr>
        <w:spacing w:after="0" w:line="158"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Employee Representations and Acknowledgments</w:t>
      </w:r>
      <w:r>
        <w:rPr>
          <w:rFonts w:ascii="Times New Roman" w:cs="Times New Roman" w:eastAsia="Times New Roman" w:hAnsi="Times New Roman"/>
          <w:sz w:val="22"/>
          <w:szCs w:val="22"/>
          <w:color w:val="auto"/>
        </w:rPr>
        <w:t>. Employee hereby represents and warrants to the Company that Employee (a) has read this Agreement in its entirety, (b) has all requisite power and authority to execute and deliver this Agreement and to perform his or her obligations hereunder, (c) fully understands the contents of this Agreement, (d) freely, voluntarily and without coercion enters into this Agreement, and (e) is signing it with full knowledge that it is intended, to the maximum extent permitted by law, as a complete release and waiver of any and all claims.</w:t>
      </w:r>
    </w:p>
    <w:p>
      <w:pPr>
        <w:spacing w:after="0" w:line="177" w:lineRule="exact"/>
        <w:rPr>
          <w:sz w:val="20"/>
          <w:szCs w:val="20"/>
          <w:color w:val="auto"/>
        </w:rPr>
      </w:pPr>
    </w:p>
    <w:p>
      <w:pPr>
        <w:ind w:right="860" w:firstLine="749"/>
        <w:spacing w:after="0" w:line="25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the event any provision of this Agreement is held to be void, null or unenforceable, the remaining portions shall remain in full force and effect.</w:t>
      </w:r>
    </w:p>
    <w:p>
      <w:pPr>
        <w:spacing w:after="0" w:line="145"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No Admission of Wrongdoing</w:t>
      </w:r>
      <w:r>
        <w:rPr>
          <w:rFonts w:ascii="Times New Roman" w:cs="Times New Roman" w:eastAsia="Times New Roman" w:hAnsi="Times New Roman"/>
          <w:sz w:val="22"/>
          <w:szCs w:val="22"/>
          <w:color w:val="auto"/>
        </w:rPr>
        <w:t>. Neither this Agreement nor the furnishing of the consideration for this Agreement shall be deemed or construed as an admission of liability or wrongdoing on the part of the Released Parties, nor shall they be admissible as evidence in any proceeding other than for the enforcement of this Agreement.</w:t>
      </w:r>
    </w:p>
    <w:p>
      <w:pPr>
        <w:spacing w:after="0" w:line="160" w:lineRule="exact"/>
        <w:rPr>
          <w:sz w:val="20"/>
          <w:szCs w:val="20"/>
          <w:color w:val="auto"/>
        </w:rPr>
      </w:pPr>
    </w:p>
    <w:p>
      <w:pPr>
        <w:ind w:right="620" w:firstLine="749"/>
        <w:spacing w:after="0" w:line="258"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This Agreement cannot be modified in any respect except in a written instrument signed by both Parties.</w:t>
      </w:r>
    </w:p>
    <w:p>
      <w:pPr>
        <w:spacing w:after="0" w:line="145"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sets forth the entire agreement between the Parties hereto, and fully supersedes any prior agreements or understandings between the Parties, except for any confidentiality agreements between the Parties, which shall remain in full force and effect. Should there be a conflict between this document and Employee’s Amended and Restated Employment Agreement, or any other document, this Agreement shall control.</w:t>
      </w:r>
    </w:p>
    <w:p>
      <w:pPr>
        <w:spacing w:after="0" w:line="194"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21"/>
          <w:szCs w:val="21"/>
          <w:color w:val="auto"/>
        </w:rPr>
        <w:t>24.</w:t>
      </w:r>
      <w:r>
        <w:rPr>
          <w:rFonts w:ascii="Times New Roman" w:cs="Times New Roman" w:eastAsia="Times New Roman" w:hAnsi="Times New Roman"/>
          <w:sz w:val="21"/>
          <w:szCs w:val="21"/>
          <w:u w:val="single" w:color="auto"/>
          <w:color w:val="auto"/>
        </w:rPr>
        <w:t>No Reliance</w:t>
      </w:r>
      <w:r>
        <w:rPr>
          <w:rFonts w:ascii="Times New Roman" w:cs="Times New Roman" w:eastAsia="Times New Roman" w:hAnsi="Times New Roman"/>
          <w:sz w:val="21"/>
          <w:szCs w:val="21"/>
          <w:color w:val="auto"/>
        </w:rPr>
        <w:t>. Employee has not relied on any representations, promises, or agreements of any kind made to Employee in connection with Employee’s decision to accept this Agreement, except for those set forth in this Agreement.</w:t>
      </w:r>
    </w:p>
    <w:p>
      <w:pPr>
        <w:spacing w:after="0" w:line="121" w:lineRule="exact"/>
        <w:rPr>
          <w:sz w:val="20"/>
          <w:szCs w:val="20"/>
          <w:color w:val="auto"/>
        </w:rPr>
      </w:pPr>
    </w:p>
    <w:p>
      <w:pPr>
        <w:ind w:right="840" w:firstLine="749"/>
        <w:spacing w:after="0" w:line="258"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uncertainty or ambiguity in the Agreement shall not be construed for or against any Party based on the attribution of drafting to any Party.</w:t>
      </w:r>
    </w:p>
    <w:p>
      <w:pPr>
        <w:spacing w:after="0" w:line="145"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paragraph headings used in the Agreement are included solely for convenience and shall not affect or be used in connection with the interpretation of this Agreement.</w:t>
      </w:r>
    </w:p>
    <w:p>
      <w:pPr>
        <w:spacing w:after="0" w:line="10"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the Parties in counterparts, which are defined as duplicate originals, all of which taken together shall be construed as one document.</w:t>
      </w:r>
    </w:p>
    <w:p>
      <w:pPr>
        <w:spacing w:after="0" w:line="145"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Signature</w:t>
      </w:r>
      <w:r>
        <w:rPr>
          <w:rFonts w:ascii="Times New Roman" w:cs="Times New Roman" w:eastAsia="Times New Roman" w:hAnsi="Times New Roman"/>
          <w:sz w:val="22"/>
          <w:szCs w:val="22"/>
          <w:color w:val="auto"/>
        </w:rPr>
        <w:t>. A signature by DocuSign, or email, or other electronic means on this Agreement shall be as legally binding as an original signature.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and conformed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22" w:right="799" w:bottom="1440" w:gutter="0" w:footer="0" w:header="0"/>
        </w:sectPr>
      </w:pPr>
    </w:p>
    <w:bookmarkStart w:id="32" w:name="page33"/>
    <w:bookmarkEnd w:id="32"/>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the laws of the State of California, without regard to its conflicts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3" w:name="page34"/>
    <w:bookmarkEnd w:id="33"/>
    <w:p>
      <w:pPr>
        <w:ind w:right="99" w:firstLine="749"/>
        <w:spacing w:after="0" w:line="258" w:lineRule="auto"/>
        <w:rPr>
          <w:sz w:val="20"/>
          <w:szCs w:val="20"/>
          <w:color w:val="auto"/>
        </w:rPr>
      </w:pPr>
      <w:r>
        <w:rPr>
          <w:rFonts w:ascii="Times New Roman" w:cs="Times New Roman" w:eastAsia="Times New Roman" w:hAnsi="Times New Roman"/>
          <w:sz w:val="22"/>
          <w:szCs w:val="22"/>
          <w:color w:val="auto"/>
        </w:rPr>
        <w:t>PLEASE READ CAREFULLY. THIS AGREEMENT INCLUDES A RELEASE OF ALL KNOWN AND UNKNOWN CLAIMS.</w:t>
      </w:r>
    </w:p>
    <w:p>
      <w:pPr>
        <w:spacing w:after="0" w:line="200" w:lineRule="exact"/>
        <w:rPr>
          <w:sz w:val="20"/>
          <w:szCs w:val="20"/>
          <w:color w:val="auto"/>
        </w:rPr>
      </w:pPr>
    </w:p>
    <w:p>
      <w:pPr>
        <w:spacing w:after="0" w:line="201" w:lineRule="exact"/>
        <w:rPr>
          <w:sz w:val="20"/>
          <w:szCs w:val="20"/>
          <w:color w:val="auto"/>
        </w:rPr>
      </w:pPr>
    </w:p>
    <w:p>
      <w:pPr>
        <w:ind w:left="2900"/>
        <w:spacing w:after="0"/>
        <w:tabs>
          <w:tab w:leader="none" w:pos="5900" w:val="left"/>
        </w:tabs>
        <w:rPr>
          <w:sz w:val="20"/>
          <w:szCs w:val="20"/>
          <w:color w:val="auto"/>
        </w:rPr>
      </w:pPr>
      <w:r>
        <w:rPr>
          <w:rFonts w:ascii="Times New Roman" w:cs="Times New Roman" w:eastAsia="Times New Roman" w:hAnsi="Times New Roman"/>
          <w:sz w:val="22"/>
          <w:szCs w:val="22"/>
          <w:color w:val="auto"/>
        </w:rPr>
        <w:t>Executed on March 27, 2026 by:</w:t>
      </w:r>
      <w:r>
        <w:rPr>
          <w:sz w:val="20"/>
          <w:szCs w:val="20"/>
          <w:color w:val="auto"/>
        </w:rPr>
        <w:tab/>
      </w:r>
      <w:r>
        <w:rPr>
          <w:rFonts w:ascii="Times New Roman" w:cs="Times New Roman" w:eastAsia="Times New Roman" w:hAnsi="Times New Roman"/>
          <w:sz w:val="21"/>
          <w:szCs w:val="21"/>
          <w:color w:val="auto"/>
        </w:rPr>
        <w:t>/s/ Mark Erlander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-13970</wp:posOffset>
            </wp:positionV>
            <wp:extent cx="10972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5420"/>
        <w:spacing w:after="0"/>
        <w:rPr>
          <w:sz w:val="20"/>
          <w:szCs w:val="20"/>
          <w:color w:val="auto"/>
        </w:rPr>
      </w:pPr>
      <w:r>
        <w:rPr>
          <w:rFonts w:ascii="Times New Roman" w:cs="Times New Roman" w:eastAsia="Times New Roman" w:hAnsi="Times New Roman"/>
          <w:sz w:val="22"/>
          <w:szCs w:val="22"/>
          <w:color w:val="auto"/>
        </w:rPr>
        <w:t>Mark Erlander</w:t>
      </w:r>
    </w:p>
    <w:p>
      <w:pPr>
        <w:spacing w:after="0" w:line="200" w:lineRule="exact"/>
        <w:rPr>
          <w:sz w:val="20"/>
          <w:szCs w:val="20"/>
          <w:color w:val="auto"/>
        </w:rPr>
      </w:pPr>
    </w:p>
    <w:p>
      <w:pPr>
        <w:spacing w:after="0" w:line="252" w:lineRule="exact"/>
        <w:rPr>
          <w:sz w:val="20"/>
          <w:szCs w:val="20"/>
          <w:color w:val="auto"/>
        </w:rPr>
      </w:pPr>
    </w:p>
    <w:p>
      <w:pPr>
        <w:ind w:left="2900"/>
        <w:spacing w:after="0"/>
        <w:tabs>
          <w:tab w:leader="none" w:pos="5900" w:val="left"/>
        </w:tabs>
        <w:rPr>
          <w:sz w:val="20"/>
          <w:szCs w:val="20"/>
          <w:color w:val="auto"/>
        </w:rPr>
      </w:pPr>
      <w:r>
        <w:rPr>
          <w:rFonts w:ascii="Times New Roman" w:cs="Times New Roman" w:eastAsia="Times New Roman" w:hAnsi="Times New Roman"/>
          <w:sz w:val="22"/>
          <w:szCs w:val="22"/>
          <w:color w:val="auto"/>
        </w:rPr>
        <w:t>Executed on March 27, 2026 by:</w:t>
      </w:r>
      <w:r>
        <w:rPr>
          <w:sz w:val="20"/>
          <w:szCs w:val="20"/>
          <w:color w:val="auto"/>
        </w:rPr>
        <w:tab/>
      </w:r>
      <w:r>
        <w:rPr>
          <w:rFonts w:ascii="Times New Roman" w:cs="Times New Roman" w:eastAsia="Times New Roman" w:hAnsi="Times New Roman"/>
          <w:sz w:val="21"/>
          <w:szCs w:val="21"/>
          <w:color w:val="auto"/>
        </w:rPr>
        <w:t>/s/ Mani Mohindru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-13970</wp:posOffset>
            </wp:positionV>
            <wp:extent cx="10972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Mani Mohindru for Cardiff Oncology,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2" w:right="1440" w:bottom="1440" w:gutter="0" w:footer="0" w:header="0"/>
        </w:sectPr>
      </w:pPr>
    </w:p>
    <w:bookmarkStart w:id="34" w:name="page35"/>
    <w:bookmarkEnd w:id="34"/>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SEPARATION AGREEMENT</w:t>
      </w:r>
    </w:p>
    <w:p>
      <w:pPr>
        <w:spacing w:after="0" w:line="206"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This Separation Agreement (“Agreement”) is made by and between Cardiff Oncology, Inc. (the “Company”) and James Levine (“Employee”) (each a “Party” and collectively the “Parties”). In consideration for the execution of this Agreement, and the performance of the terms and conditions set forth herein, the Parties agree as follows:</w:t>
      </w:r>
    </w:p>
    <w:p>
      <w:pPr>
        <w:spacing w:after="0" w:line="160" w:lineRule="exact"/>
        <w:rPr>
          <w:sz w:val="20"/>
          <w:szCs w:val="20"/>
          <w:color w:val="auto"/>
        </w:rPr>
      </w:pPr>
    </w:p>
    <w:p>
      <w:pPr>
        <w:ind w:right="160" w:firstLine="757"/>
        <w:spacing w:after="0" w:line="236" w:lineRule="auto"/>
        <w:tabs>
          <w:tab w:leader="none" w:pos="100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Employee’s employment with the Company terminated effective March 27, 2026 (the “Separation Date”). By signing below, Employee acknowledges and agrees that other than as described in this Agreement and with respect to the Employee’s 2025 bonus (which the Parties agree is equal to $61,740 and will be paid by no later than April 30, 2026), Employee has received all wages owed, including accrued and unused vacation; has been reimbursed for all business expenses incurred in accordance with the Company’s expense reimbursement policy; and has received all other payments owed by law.</w:t>
      </w:r>
    </w:p>
    <w:p>
      <w:pPr>
        <w:spacing w:after="0" w:line="181" w:lineRule="exact"/>
        <w:rPr>
          <w:rFonts w:ascii="Times New Roman" w:cs="Times New Roman" w:eastAsia="Times New Roman" w:hAnsi="Times New Roman"/>
          <w:sz w:val="22"/>
          <w:szCs w:val="22"/>
          <w:color w:val="auto"/>
        </w:rPr>
      </w:pPr>
    </w:p>
    <w:p>
      <w:pPr>
        <w:ind w:right="500" w:firstLine="757"/>
        <w:spacing w:after="0" w:line="258" w:lineRule="auto"/>
        <w:tabs>
          <w:tab w:leader="none" w:pos="99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In consideration for the execution of this Agreement, and the performance of the terms and conditions set forth herein, the Parties hereby agree as follows:</w:t>
      </w:r>
    </w:p>
    <w:p>
      <w:pPr>
        <w:spacing w:after="0" w:line="158"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Cash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80" w:firstLine="2254"/>
        <w:spacing w:after="0" w:line="258" w:lineRule="auto"/>
        <w:tabs>
          <w:tab w:leader="none" w:pos="253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pay Employee’s Base Compensation for twelve (12) months from the Separation Date. These payments will be made on the Company’s regular payroll dates.</w:t>
      </w:r>
    </w:p>
    <w:p>
      <w:pPr>
        <w:spacing w:after="0" w:line="166" w:lineRule="exact"/>
        <w:rPr>
          <w:rFonts w:ascii="Times New Roman" w:cs="Times New Roman" w:eastAsia="Times New Roman" w:hAnsi="Times New Roman"/>
          <w:sz w:val="22"/>
          <w:szCs w:val="22"/>
          <w:color w:val="auto"/>
        </w:rPr>
      </w:pPr>
    </w:p>
    <w:p>
      <w:pPr>
        <w:ind w:firstLine="2254"/>
        <w:spacing w:after="0" w:line="249" w:lineRule="auto"/>
        <w:tabs>
          <w:tab w:leader="none" w:pos="253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Company shall pay the Employee the equivalent of fifty percent (50%) of the Employee’s target bonus for 2026 (45% of Base Salary), with such payments to be made on a pro-rated basis for twelve (12) months from the Separation Date. These payments will be made on the Company’s regular payroll dates.</w:t>
      </w:r>
    </w:p>
    <w:p>
      <w:pPr>
        <w:spacing w:after="0" w:line="160" w:lineRule="exact"/>
        <w:rPr>
          <w:sz w:val="20"/>
          <w:szCs w:val="20"/>
          <w:color w:val="auto"/>
        </w:rPr>
      </w:pPr>
    </w:p>
    <w:p>
      <w:pPr>
        <w:ind w:right="10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Medical Insurance</w:t>
      </w:r>
      <w:r>
        <w:rPr>
          <w:rFonts w:ascii="Times New Roman" w:cs="Times New Roman" w:eastAsia="Times New Roman" w:hAnsi="Times New Roman"/>
          <w:sz w:val="22"/>
          <w:szCs w:val="22"/>
          <w:color w:val="auto"/>
        </w:rPr>
        <w:t>. The Company will reimburse Employee the same amount that he was receiving as his normal company co-pay for up to 12 months, provided that he maintains coverage either though COBRA or through an alternative source. This reimbursement will be provided within two weeks of each submission by Employee of proof of payment for medical insurance premiums. This payment will terminate if Employee obtains other employment through which he can obtain medical insurance.</w:t>
      </w:r>
    </w:p>
    <w:p>
      <w:pPr>
        <w:spacing w:after="0" w:line="163" w:lineRule="exact"/>
        <w:rPr>
          <w:sz w:val="20"/>
          <w:szCs w:val="20"/>
          <w:color w:val="auto"/>
        </w:rPr>
      </w:pPr>
    </w:p>
    <w:p>
      <w:pPr>
        <w:ind w:right="26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Good and Valuable Consideration.</w:t>
      </w:r>
      <w:r>
        <w:rPr>
          <w:rFonts w:ascii="Times New Roman" w:cs="Times New Roman" w:eastAsia="Times New Roman" w:hAnsi="Times New Roman"/>
          <w:sz w:val="22"/>
          <w:szCs w:val="22"/>
          <w:color w:val="auto"/>
        </w:rPr>
        <w:t xml:space="preserve"> The Parties expressly agree that the consideration set forth in Section 2 of this Agreement constitutes good and valuable consideration in addition to anything to which Employee is already entitled, and the Company has no independent legal duty to provide Employee with the consideration set forth in this Agreement, absent the terms of the Agreement itself. Employee understands and agrees that Employee will not receive the consideration specified herein, without Employee’s execution of this Agreement and the fulfillment of the promises contained herein.</w:t>
      </w:r>
    </w:p>
    <w:p>
      <w:pPr>
        <w:spacing w:after="0" w:line="181"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Nothing herein will alter the terms and conditions of</w:t>
      </w:r>
    </w:p>
    <w:p>
      <w:pPr>
        <w:spacing w:after="0" w:line="1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Employee’s equity awards as set forth in Employee’s equity agreements; provided, however, that Employee will be entitled to exercise the purchase of his vested equity as of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1223645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08" w:right="8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for a period of twelve (12) months after the Separation Date.</w:t>
      </w:r>
    </w:p>
    <w:p>
      <w:pPr>
        <w:spacing w:after="0" w:line="58" w:lineRule="exact"/>
        <w:rPr>
          <w:sz w:val="20"/>
          <w:szCs w:val="20"/>
          <w:color w:val="auto"/>
        </w:rPr>
      </w:pPr>
    </w:p>
    <w:p>
      <w:pPr>
        <w:ind w:firstLine="757"/>
        <w:spacing w:after="0" w:line="246" w:lineRule="auto"/>
        <w:tabs>
          <w:tab w:leader="none" w:pos="1009"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Release of Claims</w:t>
      </w:r>
      <w:r>
        <w:rPr>
          <w:rFonts w:ascii="Times New Roman" w:cs="Times New Roman" w:eastAsia="Times New Roman" w:hAnsi="Times New Roman"/>
          <w:sz w:val="21"/>
          <w:szCs w:val="21"/>
          <w:color w:val="auto"/>
        </w:rPr>
        <w:t>. Except as to such rights or claims as may be created by this Agreement, Employee, and anyone and any entity claiming through Employee, including but not limited to Employee’s heirs, administrators, successors in interest, assigns and agents, hereby release and forever discharge the Company and all of its past, present and future employees, officers, directors, members, agents, trustees, administrators, representatives, owners, shareholders, partners, insurers, fiduciaries, attorneys, subsidiaries, parent companies, affiliates, related entities, assigns, predecessors and successors in interest, and each and all of them, jointly and severally (collectively the “Released Parties”), from any and all liabilities, claims, causes of action, charges, complaints, obligations, costs, losses, damages, injuries, penalties, interest, attorneys’ fees, and other legal responsibilities, of any form whatsoever, whether known or unknown, unforeseen, unanticipated, unsuspected or latent, which Employee has at any time owned or held prior to Employee’s execution of this Agreement, including but not limited to, any and all claims arising out of, connected with, or relating to:</w:t>
      </w:r>
    </w:p>
    <w:p>
      <w:pPr>
        <w:spacing w:after="0" w:line="171" w:lineRule="exact"/>
        <w:rPr>
          <w:sz w:val="20"/>
          <w:szCs w:val="20"/>
          <w:color w:val="auto"/>
        </w:rPr>
      </w:pPr>
    </w:p>
    <w:p>
      <w:pPr>
        <w:ind w:left="1440" w:hanging="683"/>
        <w:spacing w:after="0"/>
        <w:tabs>
          <w:tab w:leader="none" w:pos="14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employment and/or the end of Employee’s employment with the Released Parties;</w:t>
      </w:r>
    </w:p>
    <w:p>
      <w:pPr>
        <w:spacing w:after="0" w:line="14"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by the Released Parties;</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VII of the Civil Rights Act of 1964,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Civil Rights Act of 1991,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1981 through 1988 of Title 42 of the United States Code,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Discrimination in Employment Act of 1967, as amended;</w:t>
      </w:r>
    </w:p>
    <w:p>
      <w:pPr>
        <w:ind w:left="1500" w:hanging="743"/>
        <w:spacing w:after="0"/>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Retirement Income Security Act of 1974, as amended;</w:t>
      </w:r>
    </w:p>
    <w:p>
      <w:pPr>
        <w:spacing w:after="0" w:line="3"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Immigration Reform and Control Act,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Americans with Disabilities Act of 1990,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Labor Standards Act,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Workers Adjustment and Retraining Notification Act,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Occupational Safety and Health Act,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California Fair Employment and Housing Act,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California Labor Code,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California Private Attorney General Act,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Equal Pay Law, as amended;</w:t>
      </w:r>
    </w:p>
    <w:p>
      <w:pPr>
        <w:ind w:left="1500" w:hanging="743"/>
        <w:spacing w:after="0" w:line="230" w:lineRule="auto"/>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IWC Wage Orders, as amended;</w:t>
      </w:r>
    </w:p>
    <w:p>
      <w:pPr>
        <w:ind w:left="1480" w:right="740" w:hanging="723"/>
        <w:spacing w:after="0" w:line="241" w:lineRule="auto"/>
        <w:tabs>
          <w:tab w:leader="none" w:pos="14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federal, state or local law, regulation or municipal ordinance, including those regulating compensation and those prohibiting discrimination, harassment, or retaliation of any kind;</w:t>
      </w:r>
    </w:p>
    <w:p>
      <w:pPr>
        <w:spacing w:after="0" w:line="1" w:lineRule="exact"/>
        <w:rPr>
          <w:rFonts w:ascii="Times New Roman" w:cs="Times New Roman" w:eastAsia="Times New Roman" w:hAnsi="Times New Roman"/>
          <w:sz w:val="21"/>
          <w:szCs w:val="21"/>
          <w:color w:val="auto"/>
        </w:rPr>
      </w:pPr>
    </w:p>
    <w:p>
      <w:pPr>
        <w:ind w:left="1440" w:right="980" w:hanging="683"/>
        <w:spacing w:after="0" w:line="230" w:lineRule="auto"/>
        <w:tabs>
          <w:tab w:leader="none" w:pos="14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based on violation of public policy, breach of contract, tort, fraud, misrepresentation, defamation, or any other common law claim;</w:t>
      </w:r>
    </w:p>
    <w:p>
      <w:pPr>
        <w:spacing w:after="0" w:line="1" w:lineRule="exact"/>
        <w:rPr>
          <w:rFonts w:ascii="Times New Roman" w:cs="Times New Roman" w:eastAsia="Times New Roman" w:hAnsi="Times New Roman"/>
          <w:sz w:val="22"/>
          <w:szCs w:val="22"/>
          <w:color w:val="auto"/>
        </w:rPr>
      </w:pPr>
    </w:p>
    <w:p>
      <w:pPr>
        <w:ind w:left="1460" w:right="680" w:hanging="703"/>
        <w:spacing w:after="0" w:line="230" w:lineRule="auto"/>
        <w:tabs>
          <w:tab w:leader="none" w:pos="14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damages of any kind, including but not limited to compensatory damages, emotional distress damages, liquidated damages, punitive damages, or penalties; or</w:t>
      </w:r>
    </w:p>
    <w:p>
      <w:pPr>
        <w:spacing w:after="0" w:line="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costs, fees, interest, or other expenses, including attorneys’ fees.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foregoing general release does not apply to any of Employee’s claims that cannot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1241425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354" w:right="859" w:bottom="1440" w:gutter="0" w:footer="0" w:header="0"/>
        </w:sectPr>
      </w:pPr>
    </w:p>
    <w:bookmarkStart w:id="36" w:name="page37"/>
    <w:bookmarkEnd w:id="36"/>
    <w:p>
      <w:pPr>
        <w:spacing w:after="0" w:line="13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released as a matter of law and does not limit any rights Employee may have under the National Labor Relations Act. The Parties agree and acknowledge that the release and waiver set forth</w:t>
      </w:r>
    </w:p>
    <w:p>
      <w:pPr>
        <w:spacing w:after="0" w:line="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above shall not prevent Employee from participating in or cooperating with any state or federal agency’s investigation or charge of discrimination, including the Equal Employment Opportunity Commission (“EEOC”). The Parties further agree and acknowledge that nothing in the Agreement prevents or prohibits Employee from filing a charge of discrimination with a state or federal agency, including the EEOC. However, Employee understands and agrees that Employee is giving up the opportunity to recover any compensation, damages, or any other form of relief in any proceeding brought by Employee or on Employee’s behalf.</w:t>
      </w:r>
    </w:p>
    <w:p>
      <w:pPr>
        <w:spacing w:after="0" w:line="181" w:lineRule="exact"/>
        <w:rPr>
          <w:sz w:val="20"/>
          <w:szCs w:val="20"/>
          <w:color w:val="auto"/>
        </w:rPr>
      </w:pPr>
    </w:p>
    <w:p>
      <w:pPr>
        <w:ind w:right="160" w:firstLine="757"/>
        <w:spacing w:after="0" w:line="233" w:lineRule="auto"/>
        <w:tabs>
          <w:tab w:leader="none" w:pos="100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Older Worker’s Benefit Protection Act</w:t>
      </w:r>
      <w:r>
        <w:rPr>
          <w:rFonts w:ascii="Times New Roman" w:cs="Times New Roman" w:eastAsia="Times New Roman" w:hAnsi="Times New Roman"/>
          <w:sz w:val="22"/>
          <w:szCs w:val="22"/>
          <w:color w:val="auto"/>
        </w:rPr>
        <w:t xml:space="preserve">. This Agreement constitutes a knowing and voluntary waiver of any and all rights or claims that Employee has or may have under the Federal Age Discrimination in Employment Act, as amended by the Older Workers’ Benefit Protection Act of 1990, 29 U.S.C. §§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This paragraph and this Agreement are written in a manner calculated to be understood by Employee. Employee is hereby advised in writing to consult with an attorney before signing this Agreement. Employee has had a reasonable time of up to 21 days in which to consider signing this Agreement. If Employee decides not to use all 21 days, Employee knowingly and voluntarily waives any claims that Employee was not given the 21-day period or did not use the entire 21 days to consider this Agreement. Employee may revoke this Agreement at any time within the 7-day period following the date Employee signs this Agreement by providing written notice of revocation to the Company by email to Mani Mohindru at mmohindru@cardiffoncology.com so that said revocation notice is received before the expiration of the 7-day revocation period (the “Revocation Period”). If Employee revokes the Agreement within the Revocation Period, Employee will not receive the consideration set forth in the Agreement.</w:t>
      </w:r>
    </w:p>
    <w:p>
      <w:pPr>
        <w:spacing w:after="0" w:line="184"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Unknown Claims</w:t>
      </w:r>
      <w:r>
        <w:rPr>
          <w:rFonts w:ascii="Times New Roman" w:cs="Times New Roman" w:eastAsia="Times New Roman" w:hAnsi="Times New Roman"/>
          <w:sz w:val="22"/>
          <w:szCs w:val="22"/>
          <w:color w:val="auto"/>
        </w:rPr>
        <w:t>. Employee has reviewed and hereby expressly waives the provisions of Section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1542 of the California Civil Code, which provides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6073775</wp:posOffset>
            </wp:positionH>
            <wp:positionV relativeFrom="paragraph">
              <wp:posOffset>-937895</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2" w:lineRule="exact"/>
        <w:rPr>
          <w:sz w:val="20"/>
          <w:szCs w:val="20"/>
          <w:color w:val="auto"/>
        </w:rPr>
      </w:pPr>
    </w:p>
    <w:p>
      <w:pPr>
        <w:ind w:left="1500" w:right="320"/>
        <w:spacing w:after="0" w:line="238"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7" w:lineRule="exact"/>
        <w:rPr>
          <w:sz w:val="20"/>
          <w:szCs w:val="20"/>
          <w:color w:val="auto"/>
        </w:rPr>
      </w:pPr>
    </w:p>
    <w:p>
      <w:pPr>
        <w:ind w:right="840"/>
        <w:spacing w:after="0" w:line="241" w:lineRule="auto"/>
        <w:rPr>
          <w:sz w:val="20"/>
          <w:szCs w:val="20"/>
          <w:color w:val="auto"/>
        </w:rPr>
      </w:pPr>
      <w:r>
        <w:rPr>
          <w:rFonts w:ascii="Times New Roman" w:cs="Times New Roman" w:eastAsia="Times New Roman" w:hAnsi="Times New Roman"/>
          <w:sz w:val="22"/>
          <w:szCs w:val="22"/>
          <w:color w:val="auto"/>
        </w:rPr>
        <w:t>This Agreement extends to all claims or causes of action, of every nature and kind whatsoever, known or unknown, suspected or unsuspected, enumerated in this Agreement or otherwise.</w:t>
      </w:r>
    </w:p>
    <w:p>
      <w:pPr>
        <w:spacing w:after="0" w:line="2"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21"/>
          <w:szCs w:val="21"/>
          <w:color w:val="auto"/>
        </w:rPr>
        <w:t>Employee may hereafter discover presently unknown facts or claims different from or in addition to those that Employee now knows as to the matters released herein. Nevertheless, it is Employee’s intention, through this Agreement, to fully release all such matters and all claims related thereto, which do now exist, may exist or heretofore have existed.</w:t>
      </w:r>
    </w:p>
    <w:p>
      <w:pPr>
        <w:spacing w:after="0" w:line="169" w:lineRule="exact"/>
        <w:rPr>
          <w:sz w:val="20"/>
          <w:szCs w:val="20"/>
          <w:color w:val="auto"/>
        </w:rPr>
      </w:pPr>
    </w:p>
    <w:p>
      <w:pPr>
        <w:ind w:right="180" w:firstLine="757"/>
        <w:spacing w:after="0" w:line="258" w:lineRule="auto"/>
        <w:tabs>
          <w:tab w:leader="none" w:pos="100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 Employee has not, and will not, directly or indirectly institute any legal action against the Released Parties based upon, arising out of, or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37" w:name="page38"/>
    <w:bookmarkEnd w:id="37"/>
    <w:p>
      <w:pPr>
        <w:spacing w:after="0" w:line="131"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any claims released in this Agreement, to the extent allowed by law. Employee has not, and will not, directly or indirectly encourage and/or solicit any third party to institute any legal action against the Employee or Released Parties, to the extent allowed by law.</w:t>
      </w:r>
    </w:p>
    <w:p>
      <w:pPr>
        <w:spacing w:after="0" w:line="25" w:lineRule="exact"/>
        <w:rPr>
          <w:sz w:val="20"/>
          <w:szCs w:val="20"/>
          <w:color w:val="auto"/>
        </w:rPr>
      </w:pPr>
    </w:p>
    <w:p>
      <w:pPr>
        <w:ind w:right="500" w:firstLine="757"/>
        <w:spacing w:after="0" w:line="244" w:lineRule="auto"/>
        <w:tabs>
          <w:tab w:leader="none" w:pos="100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Inquiries</w:t>
      </w:r>
      <w:r>
        <w:rPr>
          <w:rFonts w:ascii="Times New Roman" w:cs="Times New Roman" w:eastAsia="Times New Roman" w:hAnsi="Times New Roman"/>
          <w:sz w:val="22"/>
          <w:szCs w:val="22"/>
          <w:color w:val="auto"/>
        </w:rPr>
        <w:t>. The Company will respond to any inquiries about Employee’s employment by providing only Employee’s dates of employment and job titles. Employee will direct all such inquiries only to Mani Mohindru, interim CEO by email at mmohindru@cardiffoncology.com.</w:t>
      </w:r>
    </w:p>
    <w:p>
      <w:pPr>
        <w:spacing w:after="0" w:line="173" w:lineRule="exact"/>
        <w:rPr>
          <w:rFonts w:ascii="Times New Roman" w:cs="Times New Roman" w:eastAsia="Times New Roman" w:hAnsi="Times New Roman"/>
          <w:sz w:val="22"/>
          <w:szCs w:val="22"/>
          <w:color w:val="auto"/>
        </w:rPr>
      </w:pPr>
    </w:p>
    <w:p>
      <w:pPr>
        <w:ind w:right="500" w:firstLine="757"/>
        <w:spacing w:after="0" w:line="244" w:lineRule="auto"/>
        <w:tabs>
          <w:tab w:leader="none" w:pos="100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Workplace Injuries</w:t>
      </w:r>
      <w:r>
        <w:rPr>
          <w:rFonts w:ascii="Times New Roman" w:cs="Times New Roman" w:eastAsia="Times New Roman" w:hAnsi="Times New Roman"/>
          <w:sz w:val="22"/>
          <w:szCs w:val="22"/>
          <w:color w:val="auto"/>
        </w:rPr>
        <w:t>. Employee has not sustained any workplace injury of any kind during Employee’s employment with the Company, and Employee does not intend to file any claim for or seek any workers’ compensation benefits.</w:t>
      </w:r>
    </w:p>
    <w:p>
      <w:pPr>
        <w:spacing w:after="0" w:line="173" w:lineRule="exact"/>
        <w:rPr>
          <w:rFonts w:ascii="Times New Roman" w:cs="Times New Roman" w:eastAsia="Times New Roman" w:hAnsi="Times New Roman"/>
          <w:sz w:val="22"/>
          <w:szCs w:val="22"/>
          <w:color w:val="auto"/>
        </w:rPr>
      </w:pPr>
    </w:p>
    <w:p>
      <w:pPr>
        <w:ind w:right="80" w:firstLine="757"/>
        <w:spacing w:after="0" w:line="246" w:lineRule="auto"/>
        <w:tabs>
          <w:tab w:leader="none" w:pos="100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Confidential, Trade Secret, or Proprietary Information</w:t>
      </w:r>
      <w:r>
        <w:rPr>
          <w:rFonts w:ascii="Times New Roman" w:cs="Times New Roman" w:eastAsia="Times New Roman" w:hAnsi="Times New Roman"/>
          <w:sz w:val="21"/>
          <w:szCs w:val="21"/>
          <w:color w:val="auto"/>
        </w:rPr>
        <w:t>. Employee agrees that Employee will not use any Trade Secrets, Confidential Information, or Proprietary Information in order to divert any business of the Company and/or its affiliates or any customers or suppliers of the Company and/or its affiliates’ business to any other person, entity, or competitor. Employee acknowledges and agrees that Employee’s obligations provided herein are necessary and reasonable in order to protect the Company and its affiliates and their respective business and Employee expressly agrees that monetary damages would be inadequate to compensate the Company and/or its affiliates for any breach by Employee of Employee’s covenants and agreements set forth herein. Accordingly, Employee agrees and acknowledges that any such violation of this Section 9 will cause irreparable injury to the Company and that, in addition to any other remedies that may be available, in law, in equity or otherwise, the Company and its affiliates shall be entitled to seek injunctive relief against the breach of this Section 9 or the continuation of any such breach by the Employee without the necessity of proving actual damages.</w:t>
      </w:r>
    </w:p>
    <w:p>
      <w:pPr>
        <w:spacing w:after="0" w:line="171"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Non-Disclosure of Trade Secrets, Confidential or Proprietary Information</w:t>
      </w:r>
      <w:r>
        <w:rPr>
          <w:rFonts w:ascii="Times New Roman" w:cs="Times New Roman" w:eastAsia="Times New Roman" w:hAnsi="Times New Roman"/>
          <w:sz w:val="22"/>
          <w:szCs w:val="22"/>
          <w:color w:val="auto"/>
        </w:rPr>
        <w:t>. Employee will not, for any reason, disclose to others or use for the benefit of anyone other than the Company any trade secret, confidential or proprietary information of the Company, including, but not limited to information relating to the Company’s customers, employees, consultants, affiliates, partners, products, services, know-how, techniques, computer systems, programs, policies and procedures, research, projects, future developments, costs, profits, pricing, customer and client information. The use of any trade secret, confidential or proprietary information belonging to the Company shall be a material breach of this Agreement. Notwithstanding anything contained herein or in any other confidentiality provision to which Employee may be or may have been subject as a result of Employee’s employment with the Company, nothing shall prohibit Employee from communicating with government authorities concerning any possible legal violations. The Company nonetheless asserts and does not waive its attorney-client privilege over any information appropriately protected by the privilege. Employee is advised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However,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1214120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38" w:name="page39"/>
    <w:bookmarkEnd w:id="38"/>
    <w:p>
      <w:pPr>
        <w:spacing w:after="0" w:line="1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understands that in the event that disclosure of the Company’s trade secrets was not done in good faith pursuant to the above, Employee will be subject to substantial damages, including punitive damages and attorneys’ fees. Employee acknowledges that these obligations are supplemental to, and do not replace or alter, his existing obligations pursuant to the Cardiff Oncology Inc.</w:t>
      </w:r>
    </w:p>
    <w:p>
      <w:pPr>
        <w:spacing w:after="0" w:line="3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Employment Agreement effective as of July 12, 2021 (“Employment Agreement”); and Mutual Confidentiality Agreement, that he executed on May 3, 2021, or any other similar documents; provided, however, that the Company agrees that the noncompetition provisions in Section 15 of the Employment Agreement are null and void..</w:t>
      </w:r>
    </w:p>
    <w:p>
      <w:pPr>
        <w:spacing w:after="0" w:line="187" w:lineRule="exact"/>
        <w:rPr>
          <w:sz w:val="20"/>
          <w:szCs w:val="20"/>
          <w:color w:val="auto"/>
        </w:rPr>
      </w:pPr>
    </w:p>
    <w:p>
      <w:pPr>
        <w:ind w:left="1500" w:hanging="743"/>
        <w:spacing w:after="0"/>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after Separation.</w:t>
      </w:r>
    </w:p>
    <w:p>
      <w:pPr>
        <w:spacing w:after="0" w:line="193" w:lineRule="exact"/>
        <w:rPr>
          <w:sz w:val="20"/>
          <w:szCs w:val="20"/>
          <w:color w:val="auto"/>
        </w:rPr>
      </w:pPr>
    </w:p>
    <w:p>
      <w:pPr>
        <w:ind w:right="100" w:firstLine="1497"/>
        <w:spacing w:after="0" w:line="234" w:lineRule="auto"/>
        <w:rPr>
          <w:sz w:val="20"/>
          <w:szCs w:val="20"/>
          <w:color w:val="auto"/>
        </w:rPr>
      </w:pPr>
      <w:r>
        <w:rPr>
          <w:rFonts w:ascii="Times New Roman" w:cs="Times New Roman" w:eastAsia="Times New Roman" w:hAnsi="Times New Roman"/>
          <w:sz w:val="22"/>
          <w:szCs w:val="22"/>
          <w:color w:val="auto"/>
        </w:rPr>
        <w:t>11.1 During the 1-year severance period, Employee will be expected to provide such assistance to the Company and its counsel as they may request in regard to any matters of which Employee has particular knowledge as a result of Employee’s employment with the Company. Such assistance shall include, but is not limited to, answering any inquiries the Company may have or receive regarding the execution of Employee’s past duties at the Company, acting as a resource person in matters relevant to Employee’s knowledge and experience with the Company, providing information and answers in response to interrogatories or other discovery, giving sworn statements and testifying in arbitrations, depositions and/or trials, and committing to be available, upon reasonable notice, to meet with the Company and its attorneys to adequately prepare for any and all proceedings associated with pending or threatened litigation or arbitration involving the Company Employee shall not be obligated to provide assistance that would unreasonably and materially interfere with Employee’s business or personal activities.</w:t>
      </w:r>
    </w:p>
    <w:p>
      <w:pPr>
        <w:spacing w:after="0" w:line="193" w:lineRule="exact"/>
        <w:rPr>
          <w:sz w:val="20"/>
          <w:szCs w:val="20"/>
          <w:color w:val="auto"/>
        </w:rPr>
      </w:pPr>
    </w:p>
    <w:p>
      <w:pPr>
        <w:ind w:right="620" w:firstLine="1498"/>
        <w:spacing w:after="0" w:line="244" w:lineRule="auto"/>
        <w:rPr>
          <w:sz w:val="20"/>
          <w:szCs w:val="20"/>
          <w:color w:val="auto"/>
        </w:rPr>
      </w:pPr>
      <w:r>
        <w:rPr>
          <w:rFonts w:ascii="Times New Roman" w:cs="Times New Roman" w:eastAsia="Times New Roman" w:hAnsi="Times New Roman"/>
          <w:sz w:val="22"/>
          <w:szCs w:val="22"/>
          <w:color w:val="auto"/>
        </w:rPr>
        <w:t>11.2 In the event that travel or other expenses are incurred by Employee in connection with such assistance or in the event Employee’s deposition is required, the reasonable travel costs and out-of-pocket expenses in connection therewith shall be reimbursed by the Company.</w:t>
      </w:r>
    </w:p>
    <w:p>
      <w:pPr>
        <w:spacing w:after="0" w:line="173" w:lineRule="exact"/>
        <w:rPr>
          <w:sz w:val="20"/>
          <w:szCs w:val="20"/>
          <w:color w:val="auto"/>
        </w:rPr>
      </w:pPr>
    </w:p>
    <w:p>
      <w:pPr>
        <w:ind w:right="540" w:firstLine="749"/>
        <w:spacing w:after="0" w:line="236"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Return of All the Company Materials</w:t>
      </w:r>
      <w:r>
        <w:rPr>
          <w:rFonts w:ascii="Times New Roman" w:cs="Times New Roman" w:eastAsia="Times New Roman" w:hAnsi="Times New Roman"/>
          <w:sz w:val="22"/>
          <w:szCs w:val="22"/>
          <w:color w:val="auto"/>
        </w:rPr>
        <w:t>. Employee acknowledges that he has returned to the Company all the Company’s records, documents, electronically stored information, and tangible embodiments of such, in Employee’s possession, including but not limited to the Company’s trade secrets, confidential information and proprietary information. Employee confirms that Employee has already returned to the Company all property of the Company, including but not limited to automobiles, keys, key cards, cellular phones, credit cards, personal and laptop computers, and any other electronic equipment.</w:t>
      </w:r>
    </w:p>
    <w:p>
      <w:pPr>
        <w:spacing w:after="0" w:line="168"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Agreement Not to Participate in Class or Representative Actions</w:t>
      </w:r>
      <w:r>
        <w:rPr>
          <w:rFonts w:ascii="Times New Roman" w:cs="Times New Roman" w:eastAsia="Times New Roman" w:hAnsi="Times New Roman"/>
          <w:sz w:val="22"/>
          <w:szCs w:val="22"/>
          <w:color w:val="auto"/>
        </w:rPr>
        <w:t>. Employee agrees not to bring or participate in any class, representative, PAGA or other similar action against Company, and agrees that Employee will opt out of any such action to the extent permitted by law, and that the production of this agreement will be sufficient grounds to exclude Employee from any such action.</w:t>
      </w:r>
    </w:p>
    <w:p>
      <w:pPr>
        <w:spacing w:after="0" w:line="194"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Employee shall not make any defamatory remarks about the Company or its current or former employees, verbally or in writing,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1202690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39" w:name="page40"/>
    <w:bookmarkEnd w:id="39"/>
    <w:p>
      <w:pPr>
        <w:spacing w:after="0" w:line="13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posting on social media applications such as YouTube, Facebook, X (f.k.a. Twitter), LinkedIn, blogs, or other public fora, or otherwise take any action that could reasonably be anticipated to cause damage to the reputation, goodwill, or business of the Company, The Company’s executive officers and members of its Board of Directors shall not make any defamatory remarks about the Employee, verbally or in writing, including without limitation posting on social media</w:t>
      </w:r>
    </w:p>
    <w:p>
      <w:pPr>
        <w:spacing w:after="0" w:line="3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21"/>
          <w:szCs w:val="21"/>
          <w:color w:val="auto"/>
        </w:rPr>
        <w:t>applications such as YouTube, Facebook, X (f.k.a. Twitter), LinkedIn, blogs, or other public fora, or otherwise take any action that could reasonably be anticipated to cause damage to the reputation, goodwill, or business of the Employee.</w:t>
      </w:r>
    </w:p>
    <w:p>
      <w:pPr>
        <w:spacing w:after="0" w:line="135"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Non-Disclosure.</w:t>
      </w:r>
      <w:r>
        <w:rPr>
          <w:rFonts w:ascii="Times New Roman" w:cs="Times New Roman" w:eastAsia="Times New Roman" w:hAnsi="Times New Roman"/>
          <w:sz w:val="22"/>
          <w:szCs w:val="22"/>
          <w:color w:val="auto"/>
        </w:rPr>
        <w:t xml:space="preserve"> Employee agrees not to disclose the terms of this Agreement, or the fact of its existence or execution, to anyone other than Employee’s immediate family members, attorneys, financial advisors, or accountants (provided that Employee obtains such person’s written agreement not to disclose the fact or terms of this Agreement and that a breach by such person shall be considered a breach by Employee), governmental taxing authorities, or pursuant to a subpoena or order of a court of competent jurisdiction, or to the SEC, OSHA, EEOC, CRD, or NLRB to the extent such disclosures are permitted by law. </w:t>
      </w:r>
      <w:r>
        <w:rPr>
          <w:rFonts w:ascii="Times New Roman" w:cs="Times New Roman" w:eastAsia="Times New Roman" w:hAnsi="Times New Roman"/>
          <w:sz w:val="22"/>
          <w:szCs w:val="22"/>
          <w:color w:val="424448"/>
        </w:rPr>
        <w:t>Nothing in this provision or this provision or this Agreement (i)</w:t>
      </w:r>
      <w:r>
        <w:rPr>
          <w:rFonts w:ascii="Times New Roman" w:cs="Times New Roman" w:eastAsia="Times New Roman" w:hAnsi="Times New Roman"/>
          <w:sz w:val="22"/>
          <w:szCs w:val="22"/>
          <w:color w:val="auto"/>
        </w:rPr>
        <w:t xml:space="preserve"> shall prevent Employee from discussing or disclosing information about unlawful acts in the workplace, such as harassment or discrimination or any other conduct that Employee has reason to believe is unlawful; or (ii) </w:t>
      </w:r>
      <w:r>
        <w:rPr>
          <w:rFonts w:ascii="Times New Roman" w:cs="Times New Roman" w:eastAsia="Times New Roman" w:hAnsi="Times New Roman"/>
          <w:sz w:val="22"/>
          <w:szCs w:val="22"/>
          <w:color w:val="424448"/>
        </w:rPr>
        <w:t>shall</w:t>
      </w:r>
      <w:r>
        <w:rPr>
          <w:rFonts w:ascii="Times New Roman" w:cs="Times New Roman" w:eastAsia="Times New Roman" w:hAnsi="Times New Roman"/>
          <w:sz w:val="22"/>
          <w:szCs w:val="22"/>
          <w:color w:val="auto"/>
        </w:rPr>
        <w:t xml:space="preserve"> prevent the disclosure of factual information that is related to a claim filed in a civil action or a complaint filed in an administrative action concerning alleged criminal conduct or alleged sexual harassment on the part of Company or any other Company Entity, or regarding any sexual assault, sexual abuse, sexual harassment, workplace harassment or discrimination, a failure to prevent an act workplace harassment or discrimination, or retaliation against a person for reporting workplace harassment or discrimination, when Employee has been required or requested to attend the proceeding pursuant to a court order, subpoena, or written request from an administrative agency or the legislature. Nothing in this Agreement shall prevent Employee from engaging in any form of concerted activity that is protected by Section 7 of the National Labor Relations Act, which is codified at 29 U.S.C. § 157. Information about such rights is available to Employee on the National Labor Relations Board’s website, www.nlrb.gov. Nothing in this Agreement shall prevent Employee from disclosing this Agreement or its contents either: (a) to current or former coworkers as part of a concerted activity protected by Section 7 of the National Labor Relations Act (codified at 29 U.S.C. § 157, and discussed at www.nlrb.gov); (b) to Employee’s union representatives; or (c) to a federal, state, or local court or administrative agency in connection with any claim that some portion of this Agreement is unlawful or is evidence of unlawful conduct.</w:t>
      </w:r>
    </w:p>
    <w:p>
      <w:pPr>
        <w:spacing w:after="0" w:line="184"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16.</w:t>
      </w:r>
      <w:r>
        <w:rPr>
          <w:rFonts w:ascii="Times New Roman" w:cs="Times New Roman" w:eastAsia="Times New Roman" w:hAnsi="Times New Roman"/>
          <w:sz w:val="21"/>
          <w:szCs w:val="21"/>
          <w:u w:val="single" w:color="auto"/>
          <w:color w:val="auto"/>
        </w:rPr>
        <w:t>Liquidated Damages</w:t>
      </w:r>
      <w:r>
        <w:rPr>
          <w:rFonts w:ascii="Times New Roman" w:cs="Times New Roman" w:eastAsia="Times New Roman" w:hAnsi="Times New Roman"/>
          <w:sz w:val="21"/>
          <w:szCs w:val="21"/>
          <w:color w:val="auto"/>
        </w:rPr>
        <w:t>. In the event Employee or the Company directly or indirectly breaches (or causes others to breach) the confidentiality provisions of Sections 14 or 15, the Parties stipulate and agree that that damages for the breach of such obligation would be, and are, difficult and impractical to ascertain. The Parties further acknowledge and agree that there is a benefit to each Party in fixing a limitation on damages based on good faith estimates of the damages expected in the event of a breach of the confidentiality provisions of Sections14 or 15. Accordingly, the breaching party agrees to pay the non-breaching party the sum of Ten Thousand Dollars ($10,000.00) for each incident of breach of the confidentiality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40" w:name="page41"/>
    <w:bookmarkEnd w:id="40"/>
    <w:p>
      <w:pPr>
        <w:spacing w:after="0" w:line="13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non-disclosure obligations of this Sections 14 or 15, representing a sum that the Parties agree is reasonable in light of the circumstances existing at the time of this Agreement. Any claimed breach of the non-disclosure/confidentially obligations of Sections 14 or 15 shall be proved by a preponderance of the evidence, and the prevailing party in any action brought for violation of Sections 14 or 15 shall be entitled to recover its reasonable attorney’s fees and costs as determined by a Court of competent jurisdiction. The Parties acknowledge and agree that this</w:t>
      </w:r>
    </w:p>
    <w:p>
      <w:pPr>
        <w:spacing w:after="0" w:line="4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provision for liquidated damages does not constitute a penalty or forfeiture within the meaning of Civil Code sections 3275 or 3369 or any other provision of California law. Neither the breach of this Section 16 nor the payment of liquidated damages by the Parties shall affect the continuing validity or enforceability of this Agreement.</w:t>
      </w:r>
    </w:p>
    <w:p>
      <w:pPr>
        <w:spacing w:after="0" w:line="173" w:lineRule="exact"/>
        <w:rPr>
          <w:sz w:val="20"/>
          <w:szCs w:val="20"/>
          <w:color w:val="auto"/>
        </w:rPr>
      </w:pPr>
    </w:p>
    <w:p>
      <w:pPr>
        <w:ind w:right="60" w:firstLine="749"/>
        <w:spacing w:after="0" w:line="232"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CIRCULAR 230 DISCLAIMER</w:t>
      </w:r>
      <w:r>
        <w:rPr>
          <w:rFonts w:ascii="Times New Roman" w:cs="Times New Roman" w:eastAsia="Times New Roman" w:hAnsi="Times New Roman"/>
          <w:sz w:val="22"/>
          <w:szCs w:val="22"/>
          <w:color w:val="auto"/>
        </w:rPr>
        <w:t>. EMPLOYEE (FOR PURPOSES OF THIS SECTION, THE “ACKNOWLEDGING PARTY”; AND EACH PARTY TO THIS AGREEMENT OTHER THAN THE ACKNOWLEDGING PARTY, AN “OTHER PARTY”) ACKNOWLEDGES AND AGREES: (1) NO PROVISION OF THIS AGREEMENT, AND NO WRITTEN COMMUNICATION OR DISCLOSURE BETWEEN OR AMONG THE PARTIES OR THEIR ATTORNEYS AND OTHER ADVISERS, IS OR WAS INTENDED TO BE, NOR SHALL ANY SUCH COMMUNICATION OR DISCLOSURE CONSTITUTE OR BE CONSTRUED OR BE RELIED UPON AS, TAX ADVICE WITHIN THE MEANING OF UNITED STATES TREASURY DEPARTMENT CIRCULAR 230 (31 CFR PART 10, AS AMENDED); (2) THE ACKNOWLEDGING PARTY (A) HAS RELIED EXCLUSIVELY UPON HIS, HER OR ITS OWN INDEPENDENT LEGAL AND TAX ADVISERS FOR ADVICE (INCLUDING TAX ADVICE) IN CONNECTION WITH THIS AGREEMENT,</w:t>
      </w:r>
    </w:p>
    <w:p>
      <w:pPr>
        <w:spacing w:after="0" w:line="9" w:lineRule="exact"/>
        <w:rPr>
          <w:sz w:val="20"/>
          <w:szCs w:val="20"/>
          <w:color w:val="auto"/>
        </w:rPr>
      </w:pPr>
    </w:p>
    <w:p>
      <w:pPr>
        <w:ind w:right="140" w:firstLine="8"/>
        <w:spacing w:after="0" w:line="232" w:lineRule="auto"/>
        <w:tabs>
          <w:tab w:leader="none" w:pos="34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ENTERED INTO THIS AGREEMENT BASED UPON THE RECOMMENDATION OF ANY OTHER PARTY OR ANY ATTORNEY OR ADVISOR TO ANY OTHER PARTY, AND (C) IS NOT ENTITLED TO RELY UPON ANY COMMUNICATION OR DISCLOSURE BY ANY ATTORNEY OR ADVISER TO ANY OTHER PARTY TO AVOID ANY TAX PENALTY THAT MAY BE IMPOSED ON THE ACKNOWLEDGING PARTY; AND (3) NO ATTORNEY OR ADVISER TO ANY OTHER PARTY HAS IMPOSED ANY LIMITATION THAT PROTECTS THE CONFIDENTIALITY OF ANY SUCH ATTORNEY’S OR ADVISER’S TAX STRATEGIES (REGARDLESS OF WHETHER SUCH LIMITATION IS LEGALLY BINDING) UPON DISCLOSURE BY THE ACKNOWLEDGING PARTY OF THE TAX TREATMENT OR TAX STRUCTURE OF ANY TRANSACTION, INCLUDING ANY TRANSACTION CONTEMPLATED BY THIS AGREEMENT.</w:t>
      </w:r>
    </w:p>
    <w:p>
      <w:pPr>
        <w:spacing w:after="0" w:line="178"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21"/>
          <w:szCs w:val="21"/>
          <w:color w:val="auto"/>
        </w:rPr>
        <w:t>18.</w:t>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Except for claims for emergency equitable or injunctive relief which cannot be timely addressed through arbitration, the Parties agree to submit any claim or dispute arising out of the terms of this Agreement to private and confidential arbitration by a single neutral arbitrator through Judicial Arbitration and Mediation Services, Inc. (“JAMS”). The JAMS Streamlined Arbitration Rules &amp; Procedures in effect at the time of the claim or dispute is arbitrated will govern the procedure for the arbitration proceedings between the Parties. The arbitration shall take place in San Diego County, California. The arbitrator in this matter shall not have the power to modify any of the provisions of this Agreement. The decision of the arbitrator shall be final and binding on all Parties to this Agreement, and judgment thereon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1210310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41" w:name="page42"/>
    <w:bookmarkEnd w:id="41"/>
    <w:p>
      <w:pPr>
        <w:spacing w:after="0" w:line="13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be entered in any court having jurisdiction. The Party initiating the arbitration shall advance the arbitrator’s fee and all costs of services provided by the arbitrator and arbitration organization. However, all the costs of the arbitration proceeding or litigation to enforce this Agreement, including attorneys’ fees and costs, shall be paid as the arbitrator or court awards in accordance with applicable law. The Parties hereby waive any right to a jury trial on any dispute or claim covered by this Agreement.</w:t>
      </w:r>
    </w:p>
    <w:p>
      <w:pPr>
        <w:spacing w:after="0" w:line="28"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Employee Representations and Acknowledgments</w:t>
      </w:r>
      <w:r>
        <w:rPr>
          <w:rFonts w:ascii="Times New Roman" w:cs="Times New Roman" w:eastAsia="Times New Roman" w:hAnsi="Times New Roman"/>
          <w:sz w:val="22"/>
          <w:szCs w:val="22"/>
          <w:color w:val="auto"/>
        </w:rPr>
        <w:t>. Employee hereby represents and warrants to the Company that Employee (a) has read this Agreement in its entirety, (b) has all requisite power and authority to execute and deliver this Agreement and to perform his or her obligations hereunder, (c) fully understands the contents of this Agreement, (d) freely, voluntarily and without coercion enters into this Agreement, and (e) is signing it with full knowledge that it is intended, to the maximum extent permitted by law, as a complete release and waiver of any and all claims.</w:t>
      </w:r>
    </w:p>
    <w:p>
      <w:pPr>
        <w:spacing w:after="0" w:line="177" w:lineRule="exact"/>
        <w:rPr>
          <w:sz w:val="20"/>
          <w:szCs w:val="20"/>
          <w:color w:val="auto"/>
        </w:rPr>
      </w:pPr>
    </w:p>
    <w:p>
      <w:pPr>
        <w:ind w:right="860" w:firstLine="749"/>
        <w:spacing w:after="0" w:line="25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the event any provision of this Agreement is held to be void, null or unenforceable, the remaining portions shall remain in full force and effect.</w:t>
      </w:r>
    </w:p>
    <w:p>
      <w:pPr>
        <w:spacing w:after="0" w:line="145"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No Admission of Wrongdoing</w:t>
      </w:r>
      <w:r>
        <w:rPr>
          <w:rFonts w:ascii="Times New Roman" w:cs="Times New Roman" w:eastAsia="Times New Roman" w:hAnsi="Times New Roman"/>
          <w:sz w:val="22"/>
          <w:szCs w:val="22"/>
          <w:color w:val="auto"/>
        </w:rPr>
        <w:t>. Neither this Agreement nor the furnishing of the consideration for this Agreement shall be deemed or construed as an admission of liability or wrongdoing on the part of the Released Parties, nor shall they be admissible as evidence in any proceeding other than for the enforcement of this Agreement.</w:t>
      </w:r>
    </w:p>
    <w:p>
      <w:pPr>
        <w:spacing w:after="0" w:line="160" w:lineRule="exact"/>
        <w:rPr>
          <w:sz w:val="20"/>
          <w:szCs w:val="20"/>
          <w:color w:val="auto"/>
        </w:rPr>
      </w:pPr>
    </w:p>
    <w:p>
      <w:pPr>
        <w:ind w:right="620" w:firstLine="749"/>
        <w:spacing w:after="0" w:line="258"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This Agreement cannot be modified in any respect except in a written instrument signed by both Parties.</w:t>
      </w:r>
    </w:p>
    <w:p>
      <w:pPr>
        <w:spacing w:after="0" w:line="145"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sets forth the entire agreement between the Parties hereto, and fully supersedes any prior agreements or understandings between the Parties, except for any confidentiality agreements between the Parties, which shall remain in full force and effect. Should there be a conflict between this document and Employee’s Amended and Restated Employment Agreement, or any other document, this Agreement shall control.</w:t>
      </w:r>
    </w:p>
    <w:p>
      <w:pPr>
        <w:spacing w:after="0" w:line="194"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21"/>
          <w:szCs w:val="21"/>
          <w:color w:val="auto"/>
        </w:rPr>
        <w:t>24.</w:t>
      </w:r>
      <w:r>
        <w:rPr>
          <w:rFonts w:ascii="Times New Roman" w:cs="Times New Roman" w:eastAsia="Times New Roman" w:hAnsi="Times New Roman"/>
          <w:sz w:val="21"/>
          <w:szCs w:val="21"/>
          <w:u w:val="single" w:color="auto"/>
          <w:color w:val="auto"/>
        </w:rPr>
        <w:t>No Reliance</w:t>
      </w:r>
      <w:r>
        <w:rPr>
          <w:rFonts w:ascii="Times New Roman" w:cs="Times New Roman" w:eastAsia="Times New Roman" w:hAnsi="Times New Roman"/>
          <w:sz w:val="21"/>
          <w:szCs w:val="21"/>
          <w:color w:val="auto"/>
        </w:rPr>
        <w:t>. Employee has not relied on any representations, promises, or agreements of any kind made to Employee in connection with Employee’s decision to accept this Agreement, except for those set forth in this Agreement.</w:t>
      </w:r>
    </w:p>
    <w:p>
      <w:pPr>
        <w:spacing w:after="0" w:line="121" w:lineRule="exact"/>
        <w:rPr>
          <w:sz w:val="20"/>
          <w:szCs w:val="20"/>
          <w:color w:val="auto"/>
        </w:rPr>
      </w:pPr>
    </w:p>
    <w:p>
      <w:pPr>
        <w:ind w:right="840" w:firstLine="749"/>
        <w:spacing w:after="0" w:line="258"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uncertainty or ambiguity in the Agreement shall not be construed for or against any Party based on the attribution of drafting to any Party.</w:t>
      </w:r>
    </w:p>
    <w:p>
      <w:pPr>
        <w:spacing w:after="0" w:line="145"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paragraph headings used in the Agreement are included solely for convenience and shall not affect or be used in connection with the interpretation of this Agreement.</w:t>
      </w:r>
    </w:p>
    <w:p>
      <w:pPr>
        <w:spacing w:after="0" w:line="145"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the Parties in counterparts, which are defined as duplicate originals, all of which taken together shall be construed as one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42" w:name="page43"/>
    <w:bookmarkEnd w:id="42"/>
    <w:p>
      <w:pPr>
        <w:spacing w:after="0" w:line="11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Signature</w:t>
      </w:r>
      <w:r>
        <w:rPr>
          <w:rFonts w:ascii="Times New Roman" w:cs="Times New Roman" w:eastAsia="Times New Roman" w:hAnsi="Times New Roman"/>
          <w:sz w:val="22"/>
          <w:szCs w:val="22"/>
          <w:color w:val="auto"/>
        </w:rPr>
        <w:t>. A signature by DocuSign, or email, or other electronic means on this Agreement shall be as legally binding as an original signature.</w:t>
      </w:r>
    </w:p>
    <w:p>
      <w:pPr>
        <w:spacing w:after="0" w:line="14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and conformed in accordance with the laws of the State of California, without regard to its conflicts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43" w:name="page44"/>
    <w:bookmarkEnd w:id="43"/>
    <w:p>
      <w:pPr>
        <w:spacing w:after="0" w:line="117" w:lineRule="exact"/>
        <w:rPr>
          <w:sz w:val="20"/>
          <w:szCs w:val="20"/>
          <w:color w:val="auto"/>
        </w:rPr>
      </w:pPr>
    </w:p>
    <w:p>
      <w:pPr>
        <w:ind w:right="1200" w:firstLine="749"/>
        <w:spacing w:after="0" w:line="258" w:lineRule="auto"/>
        <w:rPr>
          <w:sz w:val="20"/>
          <w:szCs w:val="20"/>
          <w:color w:val="auto"/>
        </w:rPr>
      </w:pPr>
      <w:r>
        <w:rPr>
          <w:rFonts w:ascii="Times New Roman" w:cs="Times New Roman" w:eastAsia="Times New Roman" w:hAnsi="Times New Roman"/>
          <w:sz w:val="22"/>
          <w:szCs w:val="22"/>
          <w:color w:val="auto"/>
        </w:rPr>
        <w:t>PLEASE READ CAREFULLY. THIS AGREEMENT INCLUDES A RELEASE OF ALL KNOWN AND UNKNOWN CLAIMS.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Executed on March 27, 2026 by:</w:t>
            </w:r>
          </w:p>
        </w:tc>
        <w:tc>
          <w:tcPr>
            <w:tcW w:w="5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James Levine</w:t>
            </w:r>
          </w:p>
        </w:tc>
      </w:tr>
      <w:tr>
        <w:trPr>
          <w:trHeight w:val="276"/>
        </w:trPr>
        <w:tc>
          <w:tcPr>
            <w:tcW w:w="6200" w:type="dxa"/>
            <w:vAlign w:val="bottom"/>
          </w:tcPr>
          <w:p>
            <w:pPr>
              <w:spacing w:after="0"/>
              <w:rPr>
                <w:sz w:val="23"/>
                <w:szCs w:val="23"/>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James Levine</w:t>
            </w:r>
          </w:p>
        </w:tc>
        <w:tc>
          <w:tcPr>
            <w:tcW w:w="18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676"/>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Executed on March 27, 2026 by:</w:t>
            </w:r>
          </w:p>
        </w:tc>
        <w:tc>
          <w:tcPr>
            <w:tcW w:w="5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Mani Mohindru</w:t>
            </w:r>
          </w:p>
        </w:tc>
      </w:tr>
      <w:tr>
        <w:trPr>
          <w:trHeight w:val="276"/>
        </w:trPr>
        <w:tc>
          <w:tcPr>
            <w:tcW w:w="6200" w:type="dxa"/>
            <w:vAlign w:val="bottom"/>
          </w:tcPr>
          <w:p>
            <w:pPr>
              <w:spacing w:after="0"/>
              <w:rPr>
                <w:sz w:val="23"/>
                <w:szCs w:val="23"/>
                <w:color w:val="auto"/>
              </w:rPr>
            </w:pPr>
          </w:p>
        </w:tc>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3"/>
              </w:rPr>
              <w:t>Mani Mohindru for</w:t>
            </w:r>
          </w:p>
        </w:tc>
        <w:tc>
          <w:tcPr>
            <w:tcW w:w="3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Cardiff Oncology, Inc.</w:t>
            </w:r>
          </w:p>
        </w:tc>
      </w:tr>
      <w:tr>
        <w:trPr>
          <w:trHeight w:val="2168"/>
        </w:trPr>
        <w:tc>
          <w:tcPr>
            <w:tcW w:w="6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Mani Mohindru, certify that:</w:t>
      </w:r>
    </w:p>
    <w:p>
      <w:pPr>
        <w:spacing w:after="0" w:line="225" w:lineRule="exact"/>
        <w:rPr>
          <w:sz w:val="20"/>
          <w:szCs w:val="20"/>
          <w:color w:val="auto"/>
        </w:rPr>
      </w:pPr>
    </w:p>
    <w:p>
      <w:pPr>
        <w:ind w:left="540" w:hanging="263"/>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Cardiff Oncology, Inc. (the “Registrant”);</w:t>
      </w:r>
    </w:p>
    <w:p>
      <w:pPr>
        <w:spacing w:after="0" w:line="225" w:lineRule="exact"/>
        <w:rPr>
          <w:rFonts w:ascii="Times New Roman" w:cs="Times New Roman" w:eastAsia="Times New Roman" w:hAnsi="Times New Roman"/>
          <w:sz w:val="18"/>
          <w:szCs w:val="18"/>
          <w:color w:val="auto"/>
        </w:rPr>
      </w:pPr>
    </w:p>
    <w:p>
      <w:pPr>
        <w:jc w:val="both"/>
        <w:ind w:left="540" w:right="220" w:hanging="263"/>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200" w:hanging="263"/>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40" w:right="220" w:hanging="263"/>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80" w:right="140" w:hanging="263"/>
        <w:spacing w:after="0" w:line="266"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80" w:right="260" w:hanging="263"/>
        <w:spacing w:after="0" w:line="266"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80" w:right="420" w:hanging="263"/>
        <w:spacing w:after="0" w:line="282"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80" w:right="120" w:hanging="263"/>
        <w:spacing w:after="0" w:line="266"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40" w:right="100" w:hanging="263"/>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80" w:right="680" w:hanging="263"/>
        <w:spacing w:after="0" w:line="282"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80" w:right="360" w:hanging="263"/>
        <w:spacing w:after="0" w:line="282"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14, 2026</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Mani Mohindru</w:t>
            </w:r>
          </w:p>
        </w:tc>
      </w:tr>
      <w:tr>
        <w:trPr>
          <w:trHeight w:val="189"/>
        </w:trPr>
        <w:tc>
          <w:tcPr>
            <w:tcW w:w="5740" w:type="dxa"/>
            <w:vAlign w:val="bottom"/>
          </w:tcPr>
          <w:p>
            <w:pPr>
              <w:spacing w:after="0"/>
              <w:rPr>
                <w:sz w:val="16"/>
                <w:szCs w:val="16"/>
                <w:color w:val="auto"/>
              </w:rPr>
            </w:pPr>
          </w:p>
        </w:tc>
        <w:tc>
          <w:tcPr>
            <w:tcW w:w="54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Mani Mohindru</w:t>
            </w:r>
          </w:p>
        </w:tc>
        <w:tc>
          <w:tcPr>
            <w:tcW w:w="60" w:type="dxa"/>
            <w:vAlign w:val="bottom"/>
          </w:tcPr>
          <w:p>
            <w:pPr>
              <w:spacing w:after="0"/>
              <w:rPr>
                <w:sz w:val="16"/>
                <w:szCs w:val="16"/>
                <w:color w:val="auto"/>
              </w:rPr>
            </w:pPr>
          </w:p>
        </w:tc>
      </w:tr>
      <w:tr>
        <w:trPr>
          <w:trHeight w:val="236"/>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574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 Muntner, certify that:</w:t>
      </w:r>
    </w:p>
    <w:p>
      <w:pPr>
        <w:spacing w:after="0" w:line="225" w:lineRule="exact"/>
        <w:rPr>
          <w:sz w:val="20"/>
          <w:szCs w:val="20"/>
          <w:color w:val="auto"/>
        </w:rPr>
      </w:pPr>
    </w:p>
    <w:p>
      <w:pPr>
        <w:ind w:left="540" w:hanging="263"/>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Cardiff Oncology, Inc. (the “Registrant”);</w:t>
      </w:r>
    </w:p>
    <w:p>
      <w:pPr>
        <w:spacing w:after="0" w:line="225" w:lineRule="exact"/>
        <w:rPr>
          <w:rFonts w:ascii="Times New Roman" w:cs="Times New Roman" w:eastAsia="Times New Roman" w:hAnsi="Times New Roman"/>
          <w:sz w:val="18"/>
          <w:szCs w:val="18"/>
          <w:color w:val="auto"/>
        </w:rPr>
      </w:pPr>
    </w:p>
    <w:p>
      <w:pPr>
        <w:jc w:val="both"/>
        <w:ind w:left="540" w:right="220" w:hanging="263"/>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200" w:hanging="263"/>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40" w:right="220" w:hanging="263"/>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80" w:right="140" w:hanging="263"/>
        <w:spacing w:after="0" w:line="266" w:lineRule="auto"/>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80" w:right="260" w:hanging="263"/>
        <w:spacing w:after="0" w:line="266" w:lineRule="auto"/>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80" w:right="420" w:hanging="263"/>
        <w:spacing w:after="0" w:line="282" w:lineRule="auto"/>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80" w:right="120" w:hanging="263"/>
        <w:spacing w:after="0" w:line="266" w:lineRule="auto"/>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40" w:right="100" w:hanging="263"/>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80" w:right="680" w:hanging="263"/>
        <w:spacing w:after="0" w:line="282" w:lineRule="auto"/>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80" w:right="360" w:hanging="263"/>
        <w:spacing w:after="0" w:line="282" w:lineRule="auto"/>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14, 2026</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Josh Muntner</w:t>
            </w:r>
          </w:p>
        </w:tc>
      </w:tr>
      <w:tr>
        <w:trPr>
          <w:trHeight w:val="189"/>
        </w:trPr>
        <w:tc>
          <w:tcPr>
            <w:tcW w:w="5740" w:type="dxa"/>
            <w:vAlign w:val="bottom"/>
          </w:tcPr>
          <w:p>
            <w:pPr>
              <w:spacing w:after="0"/>
              <w:rPr>
                <w:sz w:val="16"/>
                <w:szCs w:val="16"/>
                <w:color w:val="auto"/>
              </w:rPr>
            </w:pPr>
          </w:p>
        </w:tc>
        <w:tc>
          <w:tcPr>
            <w:tcW w:w="54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Josh Muntner</w:t>
            </w:r>
          </w:p>
        </w:tc>
        <w:tc>
          <w:tcPr>
            <w:tcW w:w="60" w:type="dxa"/>
            <w:vAlign w:val="bottom"/>
          </w:tcPr>
          <w:p>
            <w:pPr>
              <w:spacing w:after="0"/>
              <w:rPr>
                <w:sz w:val="16"/>
                <w:szCs w:val="16"/>
                <w:color w:val="auto"/>
              </w:rPr>
            </w:pPr>
          </w:p>
        </w:tc>
      </w:tr>
      <w:tr>
        <w:trPr>
          <w:trHeight w:val="236"/>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574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Cardiff Oncology, Inc. (the “Company”) on Form 10-Q for the three months ended March 31, 2026 as filed with the Securities and Exchange Commission on the date hereof (the “Report”), I, Mani Mohindru, Chief Executive Officer of the Company,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14, 2026</w:t>
            </w: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Mani Mohindru</w:t>
            </w:r>
          </w:p>
        </w:tc>
      </w:tr>
      <w:tr>
        <w:trPr>
          <w:trHeight w:val="189"/>
        </w:trPr>
        <w:tc>
          <w:tcPr>
            <w:tcW w:w="5840" w:type="dxa"/>
            <w:vAlign w:val="bottom"/>
          </w:tcPr>
          <w:p>
            <w:pPr>
              <w:spacing w:after="0"/>
              <w:rPr>
                <w:sz w:val="16"/>
                <w:szCs w:val="16"/>
                <w:color w:val="auto"/>
              </w:rPr>
            </w:pPr>
          </w:p>
        </w:tc>
        <w:tc>
          <w:tcPr>
            <w:tcW w:w="53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Mani Mohindru</w:t>
            </w:r>
          </w:p>
        </w:tc>
        <w:tc>
          <w:tcPr>
            <w:tcW w:w="80" w:type="dxa"/>
            <w:vAlign w:val="bottom"/>
          </w:tcPr>
          <w:p>
            <w:pPr>
              <w:spacing w:after="0"/>
              <w:rPr>
                <w:sz w:val="16"/>
                <w:szCs w:val="16"/>
                <w:color w:val="auto"/>
              </w:rPr>
            </w:pPr>
          </w:p>
        </w:tc>
      </w:tr>
      <w:tr>
        <w:trPr>
          <w:trHeight w:val="236"/>
        </w:trPr>
        <w:tc>
          <w:tcPr>
            <w:tcW w:w="584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584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Cardiff Oncology, Inc. (the “Company”) on Form 10-Q for the three months ended March 31, 2026 as filed with the Securities and Exchange Commission on the date hereof (the “Report”), I, Josh Muntner, Chief Financial Officer of the Company,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14, 2026</w:t>
            </w: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Josh Muntner</w:t>
            </w:r>
          </w:p>
        </w:tc>
      </w:tr>
      <w:tr>
        <w:trPr>
          <w:trHeight w:val="189"/>
        </w:trPr>
        <w:tc>
          <w:tcPr>
            <w:tcW w:w="5900" w:type="dxa"/>
            <w:vAlign w:val="bottom"/>
          </w:tcPr>
          <w:p>
            <w:pPr>
              <w:spacing w:after="0"/>
              <w:rPr>
                <w:sz w:val="16"/>
                <w:szCs w:val="16"/>
                <w:color w:val="auto"/>
              </w:rPr>
            </w:pPr>
          </w:p>
        </w:tc>
        <w:tc>
          <w:tcPr>
            <w:tcW w:w="5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Josh Muntner</w:t>
            </w:r>
          </w:p>
        </w:tc>
        <w:tc>
          <w:tcPr>
            <w:tcW w:w="80" w:type="dxa"/>
            <w:vAlign w:val="bottom"/>
          </w:tcPr>
          <w:p>
            <w:pPr>
              <w:spacing w:after="0"/>
              <w:rPr>
                <w:sz w:val="16"/>
                <w:szCs w:val="16"/>
                <w:color w:val="auto"/>
              </w:rPr>
            </w:pPr>
          </w:p>
        </w:tc>
      </w:tr>
      <w:tr>
        <w:trPr>
          <w:trHeight w:val="236"/>
        </w:trPr>
        <w:tc>
          <w:tcPr>
            <w:tcW w:w="590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59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04"/>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decimal"/>
      <w:start w:val="3"/>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4"/>
    </w:lvl>
  </w:abstractNum>
  <w:abstractNum w:abstractNumId="12">
    <w:nsid w:val="436C6125"/>
    <w:multiLevelType w:val="hybridMultilevel"/>
    <w:lvl w:ilvl="0">
      <w:lvlJc w:val="left"/>
      <w:lvlText w:val="%1."/>
      <w:numFmt w:val="decimal"/>
      <w:start w:val="6"/>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1)"/>
      <w:numFmt w:val="upperLetter"/>
      <w:start w:val="2"/>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4"/>
    </w:lvl>
  </w:abstractNum>
  <w:abstractNum w:abstractNumId="20">
    <w:nsid w:val="8EDBDAB"/>
    <w:multiLevelType w:val="hybridMultilevel"/>
    <w:lvl w:ilvl="0">
      <w:lvlJc w:val="left"/>
      <w:lvlText w:val="%1."/>
      <w:numFmt w:val="decimal"/>
      <w:start w:val="6"/>
    </w:lvl>
  </w:abstractNum>
  <w:abstractNum w:abstractNumId="21">
    <w:nsid w:val="79838CB2"/>
    <w:multiLevelType w:val="hybridMultilevel"/>
    <w:lvl w:ilvl="0">
      <w:lvlJc w:val="left"/>
      <w:lvlText w:val="%1."/>
      <w:numFmt w:val="decimal"/>
      <w:start w:val="7"/>
    </w:lvl>
  </w:abstractNum>
  <w:abstractNum w:abstractNumId="22">
    <w:nsid w:val="4353D0CD"/>
    <w:multiLevelType w:val="hybridMultilevel"/>
    <w:lvl w:ilvl="0">
      <w:lvlJc w:val="left"/>
      <w:lvlText w:val="%1."/>
      <w:numFmt w:val="decimal"/>
      <w:start w:val="11"/>
    </w:lvl>
  </w:abstractNum>
  <w:abstractNum w:abstractNumId="23">
    <w:nsid w:val="B03E0C6"/>
    <w:multiLevelType w:val="hybridMultilevel"/>
    <w:lvl w:ilvl="0">
      <w:lvlJc w:val="left"/>
      <w:lvlText w:val="(%1)"/>
      <w:numFmt w:val="upperLetter"/>
      <w:start w:val="2"/>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2026-05-14T15:16:04Z</dcterms:created>
  <dcterms:modified xsi:type="dcterms:W3CDTF">2026-05-14T15:16:04Z</dcterms:modified>
</cp:coreProperties>
</file>