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6, 2020</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Trovagene,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right"/>
              <w:ind w:right="1350"/>
              <w:spacing w:after="0"/>
              <w:rPr>
                <w:sz w:val="20"/>
                <w:szCs w:val="20"/>
                <w:color w:val="auto"/>
              </w:rPr>
            </w:pPr>
            <w:r>
              <w:rPr>
                <w:rFonts w:ascii="Arial" w:cs="Arial" w:eastAsia="Arial" w:hAnsi="Arial"/>
                <w:sz w:val="18"/>
                <w:szCs w:val="18"/>
                <w:b w:val="1"/>
                <w:bCs w:val="1"/>
                <w:color w:val="auto"/>
              </w:rPr>
              <w:t>001-35558</w:t>
            </w:r>
          </w:p>
        </w:tc>
        <w:tc>
          <w:tcPr>
            <w:tcW w:w="220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27-2004382</w:t>
            </w:r>
          </w:p>
        </w:tc>
      </w:tr>
      <w:tr>
        <w:trPr>
          <w:trHeight w:val="270"/>
        </w:trPr>
        <w:tc>
          <w:tcPr>
            <w:tcW w:w="2940" w:type="dxa"/>
            <w:vAlign w:val="bottom"/>
          </w:tcPr>
          <w:p>
            <w:pPr>
              <w:jc w:val="center"/>
              <w:ind w:right="490"/>
              <w:spacing w:after="0"/>
              <w:rPr>
                <w:sz w:val="20"/>
                <w:szCs w:val="20"/>
                <w:color w:val="auto"/>
              </w:rPr>
            </w:pPr>
            <w:r>
              <w:rPr>
                <w:rFonts w:ascii="Arial" w:cs="Arial" w:eastAsia="Arial" w:hAnsi="Arial"/>
                <w:sz w:val="18"/>
                <w:szCs w:val="18"/>
                <w:color w:val="auto"/>
                <w:w w:val="91"/>
              </w:rPr>
              <w:t>(State or other jurisdiction</w:t>
            </w:r>
          </w:p>
        </w:tc>
        <w:tc>
          <w:tcPr>
            <w:tcW w:w="3400" w:type="dxa"/>
            <w:vAlign w:val="bottom"/>
          </w:tcPr>
          <w:p>
            <w:pPr>
              <w:jc w:val="center"/>
              <w:ind w:right="190"/>
              <w:spacing w:after="0"/>
              <w:rPr>
                <w:sz w:val="20"/>
                <w:szCs w:val="20"/>
                <w:color w:val="auto"/>
              </w:rPr>
            </w:pPr>
            <w:r>
              <w:rPr>
                <w:rFonts w:ascii="Arial" w:cs="Arial" w:eastAsia="Arial" w:hAnsi="Arial"/>
                <w:sz w:val="18"/>
                <w:szCs w:val="18"/>
                <w:color w:val="auto"/>
                <w:w w:val="93"/>
              </w:rPr>
              <w:t>(Commission File Number)</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940" w:type="dxa"/>
            <w:vAlign w:val="bottom"/>
          </w:tcPr>
          <w:p>
            <w:pPr>
              <w:jc w:val="center"/>
              <w:ind w:right="490"/>
              <w:spacing w:after="0"/>
              <w:rPr>
                <w:sz w:val="20"/>
                <w:szCs w:val="20"/>
                <w:color w:val="auto"/>
              </w:rPr>
            </w:pPr>
            <w:r>
              <w:rPr>
                <w:rFonts w:ascii="Arial" w:cs="Arial" w:eastAsia="Arial" w:hAnsi="Arial"/>
                <w:sz w:val="18"/>
                <w:szCs w:val="18"/>
                <w:color w:val="auto"/>
                <w:w w:val="92"/>
              </w:rPr>
              <w:t>of incorporation or organization)</w:t>
            </w:r>
          </w:p>
        </w:tc>
        <w:tc>
          <w:tcPr>
            <w:tcW w:w="3400" w:type="dxa"/>
            <w:vAlign w:val="bottom"/>
          </w:tcPr>
          <w:p>
            <w:pPr>
              <w:spacing w:after="0"/>
              <w:rPr>
                <w:sz w:val="23"/>
                <w:szCs w:val="23"/>
                <w:color w:val="auto"/>
              </w:rPr>
            </w:pP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11055 Flintkote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952-7570</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60"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gridSpan w:val="2"/>
          </w:tcPr>
          <w:p>
            <w:pPr>
              <w:ind w:left="1400"/>
              <w:spacing w:after="0"/>
              <w:rPr>
                <w:sz w:val="20"/>
                <w:szCs w:val="20"/>
                <w:color w:val="auto"/>
              </w:rPr>
            </w:pPr>
            <w:r>
              <w:rPr>
                <w:rFonts w:ascii="Arial" w:cs="Arial" w:eastAsia="Arial" w:hAnsi="Arial"/>
                <w:sz w:val="14"/>
                <w:szCs w:val="14"/>
                <w:b w:val="1"/>
                <w:bCs w:val="1"/>
                <w:color w:val="auto"/>
              </w:rPr>
              <w:t>Title of each class:</w:t>
            </w:r>
          </w:p>
        </w:tc>
        <w:tc>
          <w:tcPr>
            <w:tcW w:w="3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Trading Symbol(s)</w:t>
            </w:r>
          </w:p>
        </w:tc>
        <w:tc>
          <w:tcPr>
            <w:tcW w:w="3900" w:type="dxa"/>
            <w:vAlign w:val="bottom"/>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46"/>
        </w:trPr>
        <w:tc>
          <w:tcPr>
            <w:tcW w:w="4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270"/>
        </w:trPr>
        <w:tc>
          <w:tcPr>
            <w:tcW w:w="4240" w:type="dxa"/>
            <w:vAlign w:val="bottom"/>
            <w:gridSpan w:val="2"/>
          </w:tcPr>
          <w:p>
            <w:pPr>
              <w:ind w:left="1380"/>
              <w:spacing w:after="0"/>
              <w:rPr>
                <w:sz w:val="20"/>
                <w:szCs w:val="20"/>
                <w:color w:val="auto"/>
              </w:rPr>
            </w:pPr>
            <w:r>
              <w:rPr>
                <w:rFonts w:ascii="Arial" w:cs="Arial" w:eastAsia="Arial" w:hAnsi="Arial"/>
                <w:sz w:val="18"/>
                <w:szCs w:val="18"/>
                <w:color w:val="auto"/>
              </w:rPr>
              <w:t>Common Stock</w:t>
            </w:r>
          </w:p>
        </w:tc>
        <w:tc>
          <w:tcPr>
            <w:tcW w:w="3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TROV</w:t>
            </w:r>
          </w:p>
        </w:tc>
        <w:tc>
          <w:tcPr>
            <w:tcW w:w="3900" w:type="dxa"/>
            <w:vAlign w:val="bottom"/>
          </w:tcPr>
          <w:p>
            <w:pPr>
              <w:ind w:left="1100"/>
              <w:spacing w:after="0"/>
              <w:rPr>
                <w:sz w:val="20"/>
                <w:szCs w:val="20"/>
                <w:color w:val="auto"/>
              </w:rPr>
            </w:pPr>
            <w:r>
              <w:rPr>
                <w:rFonts w:ascii="Arial" w:cs="Arial" w:eastAsia="Arial" w:hAnsi="Arial"/>
                <w:sz w:val="18"/>
                <w:szCs w:val="18"/>
                <w:color w:val="auto"/>
              </w:rPr>
              <w:t>Nasdaq Capital Market</w:t>
            </w:r>
          </w:p>
        </w:tc>
      </w:tr>
    </w:tbl>
    <w:p>
      <w:pPr>
        <w:spacing w:after="0" w:line="200" w:lineRule="exact"/>
        <w:rPr>
          <w:sz w:val="24"/>
          <w:szCs w:val="24"/>
          <w:color w:val="auto"/>
        </w:rPr>
      </w:pPr>
    </w:p>
    <w:p>
      <w:pPr>
        <w:spacing w:after="0" w:line="28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18"/>
          <w:szCs w:val="18"/>
          <w:color w:val="auto"/>
        </w:rPr>
        <w:t>Written communication pursuant to Rule 425 under the Securities Act (17 CFR 230.425)</w:t>
      </w:r>
    </w:p>
    <w:p>
      <w:pPr>
        <w:spacing w:after="0" w:line="242"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42"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91" w:lineRule="exact"/>
        <w:rPr>
          <w:sz w:val="24"/>
          <w:szCs w:val="24"/>
          <w:color w:val="auto"/>
        </w:rPr>
      </w:pPr>
    </w:p>
    <w:p>
      <w:pPr>
        <w:ind w:firstLine="45"/>
        <w:spacing w:after="0" w:line="373" w:lineRule="auto"/>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Arial" w:cs="Arial" w:eastAsia="Arial" w:hAnsi="Arial"/>
          <w:sz w:val="18"/>
          <w:szCs w:val="18"/>
          <w:color w:val="auto"/>
        </w:rPr>
        <w:t>o</w:t>
      </w:r>
    </w:p>
    <w:p>
      <w:pPr>
        <w:spacing w:after="0" w:line="90" w:lineRule="exact"/>
        <w:rPr>
          <w:sz w:val="24"/>
          <w:szCs w:val="24"/>
          <w:color w:val="auto"/>
        </w:rPr>
      </w:pPr>
    </w:p>
    <w:p>
      <w:pPr>
        <w:ind w:right="120" w:firstLine="45"/>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679" w:right="339" w:bottom="1440" w:gutter="0" w:footer="0" w:header="0"/>
          <w:type w:val="continuous"/>
        </w:sectPr>
      </w:pPr>
    </w:p>
    <w:bookmarkStart w:id="1" w:name="page2"/>
    <w:bookmarkEnd w:id="1"/>
    <w:p>
      <w:pPr>
        <w:ind w:left="1300" w:right="10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May 6, 2020, Trovagene, Inc. (the “Company”) announced that Mark Erlander, Ph.D., the Company’s Chief Scientific Officer has been appointed CEO of the Company. Dr. Thomas Adams, Chairman of the Board since 2009, and CEO since June of 2018, will transition his role to Executive Chairman, and continue to provide his strategic guidance and drug development expertise to the Company.</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April 30, 2020, the Company filed a Certificate of Amendment to its Amended and Restated Certificate of Incorporation changing its name to Cardiff Oncology, Inc., effective as of May 7, 2020. In connection with the new corporate name, the Company’s Nasdaq ticker symbol will change to ‘CRDF’ and will be effective at the open of the market on Friday, May 8, 2020.</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foregoing description is not complete and is qualified in its entirety by reference to the full text of the Certificate of Amendment, a copy of which is filed as Exhibit 3.1 to this report and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On May 6, 2020, the Company issued a press release announcing it is changing its company name to Cardiff Oncology, Inc. and is appointing Mark Erlander, PhD, as Chief Executive Officer (CEO). A copy of the press release is furnished as Exhibit 99.1 to this Form 8-K.</w:t>
      </w:r>
    </w:p>
    <w:p>
      <w:pPr>
        <w:spacing w:after="0" w:line="2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3">
        <w:r>
          <w:rPr>
            <w:rFonts w:ascii="Arial" w:cs="Arial" w:eastAsia="Arial" w:hAnsi="Arial"/>
            <w:sz w:val="16"/>
            <w:szCs w:val="16"/>
            <w:u w:val="single" w:color="auto"/>
            <w:color w:val="0000FF"/>
          </w:rPr>
          <w:t>Certificate of Amendment to Amended and Restated Certificate of Incorporation dated April 30, 2020</w:t>
        </w:r>
      </w:hyperlink>
    </w:p>
    <w:p>
      <w:pPr>
        <w:spacing w:after="0" w:line="63"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of Trovagene, Inc. dated May 6, 2020</w:t>
        </w:r>
      </w:hyperlink>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TROVAGENE,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Thomas Adams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553"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AMENDED AND RESTATED CERTIFICATE OF INCORPORATION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TROVAGENE, INC.</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Trovagene, Inc. (the “</w:t>
      </w:r>
      <w:r>
        <w:rPr>
          <w:rFonts w:ascii="Arial" w:cs="Arial" w:eastAsia="Arial" w:hAnsi="Arial"/>
          <w:sz w:val="22"/>
          <w:szCs w:val="22"/>
          <w:b w:val="1"/>
          <w:bCs w:val="1"/>
          <w:color w:val="auto"/>
        </w:rPr>
        <w:t>Company</w:t>
      </w:r>
      <w:r>
        <w:rPr>
          <w:rFonts w:ascii="Arial" w:cs="Arial" w:eastAsia="Arial" w:hAnsi="Arial"/>
          <w:sz w:val="22"/>
          <w:szCs w:val="22"/>
          <w:color w:val="auto"/>
        </w:rPr>
        <w:t>”), a corporation organized and existing under and by virtue of the General Corporation Law of the State of Delaware (the “</w:t>
      </w:r>
      <w:r>
        <w:rPr>
          <w:rFonts w:ascii="Arial" w:cs="Arial" w:eastAsia="Arial" w:hAnsi="Arial"/>
          <w:sz w:val="22"/>
          <w:szCs w:val="22"/>
          <w:b w:val="1"/>
          <w:bCs w:val="1"/>
          <w:color w:val="auto"/>
        </w:rPr>
        <w:t>DGCL</w:t>
      </w:r>
      <w:r>
        <w:rPr>
          <w:rFonts w:ascii="Arial" w:cs="Arial" w:eastAsia="Arial" w:hAnsi="Arial"/>
          <w:sz w:val="22"/>
          <w:szCs w:val="22"/>
          <w:color w:val="auto"/>
        </w:rPr>
        <w:t>”), does hereby certify:</w:t>
      </w:r>
    </w:p>
    <w:p>
      <w:pPr>
        <w:spacing w:after="0" w:line="168" w:lineRule="exact"/>
        <w:rPr>
          <w:sz w:val="20"/>
          <w:szCs w:val="20"/>
          <w:color w:val="auto"/>
        </w:rPr>
      </w:pPr>
    </w:p>
    <w:p>
      <w:pPr>
        <w:jc w:val="both"/>
        <w:ind w:firstLine="656"/>
        <w:spacing w:after="0" w:line="253" w:lineRule="auto"/>
        <w:tabs>
          <w:tab w:leader="none" w:pos="1172" w:val="left"/>
        </w:tabs>
        <w:numPr>
          <w:ilvl w:val="0"/>
          <w:numId w:val="2"/>
        </w:numPr>
        <w:rPr>
          <w:rFonts w:ascii="Arial" w:cs="Arial" w:eastAsia="Arial" w:hAnsi="Arial"/>
          <w:sz w:val="22"/>
          <w:szCs w:val="22"/>
          <w:color w:val="auto"/>
        </w:rPr>
      </w:pPr>
      <w:r>
        <w:rPr>
          <w:rFonts w:ascii="Arial" w:cs="Arial" w:eastAsia="Arial" w:hAnsi="Arial"/>
          <w:sz w:val="22"/>
          <w:szCs w:val="22"/>
          <w:color w:val="auto"/>
        </w:rPr>
        <w:t>Pursuant to Section 242 of the DGCL, this Certificate of Amendment to Amended and Restated Certificate of Incorporation (this “</w:t>
      </w:r>
      <w:r>
        <w:rPr>
          <w:rFonts w:ascii="Arial" w:cs="Arial" w:eastAsia="Arial" w:hAnsi="Arial"/>
          <w:sz w:val="22"/>
          <w:szCs w:val="22"/>
          <w:b w:val="1"/>
          <w:bCs w:val="1"/>
          <w:color w:val="auto"/>
        </w:rPr>
        <w:t>Amendment</w:t>
      </w:r>
      <w:r>
        <w:rPr>
          <w:rFonts w:ascii="Arial" w:cs="Arial" w:eastAsia="Arial" w:hAnsi="Arial"/>
          <w:sz w:val="22"/>
          <w:szCs w:val="22"/>
          <w:color w:val="auto"/>
        </w:rPr>
        <w:t>”) amends certain provisions of the Certificate of Incorporation of the Company, as currently in effect (the “</w:t>
      </w:r>
      <w:r>
        <w:rPr>
          <w:rFonts w:ascii="Arial" w:cs="Arial" w:eastAsia="Arial" w:hAnsi="Arial"/>
          <w:sz w:val="22"/>
          <w:szCs w:val="22"/>
          <w:b w:val="1"/>
          <w:bCs w:val="1"/>
          <w:color w:val="auto"/>
        </w:rPr>
        <w:t>Certificate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656"/>
        <w:spacing w:after="0" w:line="263" w:lineRule="auto"/>
        <w:tabs>
          <w:tab w:leader="none" w:pos="1107"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Amendment has been approved and duly adopted by the Company’s Board of Directors in accordance with the provisions of Sections 242 of the DGCL, and the provisions of the Certificate.</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Amendment shall become effective at 12:01 am EDT on May 7, 2020.</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Certificate is hereby amended by deleting Article I and replacing it with the following:</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Cardiff Oncology, Inc. (the “Corporation”).”</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1040" w:firstLine="648"/>
        <w:spacing w:after="0" w:line="263" w:lineRule="auto"/>
        <w:rPr>
          <w:sz w:val="20"/>
          <w:szCs w:val="20"/>
          <w:color w:val="auto"/>
        </w:rPr>
      </w:pPr>
      <w:r>
        <w:rPr>
          <w:rFonts w:ascii="Arial" w:cs="Arial" w:eastAsia="Arial" w:hAnsi="Arial"/>
          <w:sz w:val="22"/>
          <w:szCs w:val="22"/>
          <w:color w:val="auto"/>
        </w:rPr>
        <w:t>IN WITNESS WHEREOF, the undersigned authorized officer of the Company has executed this Certificate of Amendment to Amended and Restated Certificate of Incorporation as of April 30, 2020</w:t>
      </w: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22"/>
          <w:szCs w:val="22"/>
          <w:u w:val="single" w:color="auto"/>
          <w:color w:val="auto"/>
        </w:rPr>
        <w:t>___/s/ Thomas H. Adams</w:t>
      </w:r>
      <w:r>
        <w:rPr>
          <w:rFonts w:ascii="Arial" w:cs="Arial" w:eastAsia="Arial" w:hAnsi="Arial"/>
          <w:sz w:val="22"/>
          <w:szCs w:val="22"/>
          <w:color w:val="auto"/>
        </w:rPr>
        <w:t>__________</w:t>
      </w:r>
    </w:p>
    <w:p>
      <w:pPr>
        <w:ind w:left="5660"/>
        <w:spacing w:after="0" w:line="238" w:lineRule="auto"/>
        <w:rPr>
          <w:sz w:val="20"/>
          <w:szCs w:val="20"/>
          <w:color w:val="auto"/>
        </w:rPr>
      </w:pPr>
      <w:r>
        <w:rPr>
          <w:rFonts w:ascii="Arial" w:cs="Arial" w:eastAsia="Arial" w:hAnsi="Arial"/>
          <w:sz w:val="22"/>
          <w:szCs w:val="22"/>
          <w:color w:val="auto"/>
        </w:rPr>
        <w:t>Name: Thomas H. Adams</w:t>
      </w:r>
    </w:p>
    <w:p>
      <w:pPr>
        <w:ind w:left="56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2" w:right="339" w:bottom="1440" w:gutter="0" w:footer="0" w:header="0"/>
        </w:sectPr>
      </w:pPr>
    </w:p>
    <w:bookmarkStart w:id="3" w:name="page4"/>
    <w:bookmarkEnd w:id="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3738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37385" cy="582930"/>
                    </a:xfrm>
                    <a:prstGeom prst="rect">
                      <a:avLst/>
                    </a:prstGeom>
                    <a:noFill/>
                  </pic:spPr>
                </pic:pic>
              </a:graphicData>
            </a:graphic>
          </wp:anchor>
        </w:drawing>
      </w:r>
    </w:p>
    <w:p>
      <w:pPr>
        <w:ind w:right="340"/>
        <w:spacing w:after="0" w:line="269" w:lineRule="auto"/>
        <w:rPr>
          <w:sz w:val="20"/>
          <w:szCs w:val="20"/>
          <w:color w:val="auto"/>
        </w:rPr>
      </w:pPr>
      <w:r>
        <w:rPr>
          <w:rFonts w:ascii="Arial" w:cs="Arial" w:eastAsia="Arial" w:hAnsi="Arial"/>
          <w:sz w:val="22"/>
          <w:szCs w:val="22"/>
          <w:b w:val="1"/>
          <w:bCs w:val="1"/>
          <w:color w:val="auto"/>
        </w:rPr>
        <w:t>Trovagene Announces Changing of Company Name to Cardiff Oncology and Appointment of Mark Erlander, PhD, as Chief Executive Officer</w:t>
      </w:r>
    </w:p>
    <w:p>
      <w:pPr>
        <w:spacing w:after="0" w:line="168" w:lineRule="exact"/>
        <w:rPr>
          <w:sz w:val="20"/>
          <w:szCs w:val="20"/>
          <w:color w:val="auto"/>
        </w:rPr>
      </w:pPr>
    </w:p>
    <w:p>
      <w:pPr>
        <w:ind w:left="340" w:right="120" w:hanging="332"/>
        <w:spacing w:after="0" w:line="251" w:lineRule="auto"/>
        <w:tabs>
          <w:tab w:leader="none" w:pos="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New corporate name, Cardiff Oncology, reflects the Company’s mission and commitment to turning the tide on cancer by developing new treatment options for cancer patients</w:t>
      </w:r>
    </w:p>
    <w:p>
      <w:pPr>
        <w:spacing w:after="0" w:line="1" w:lineRule="exact"/>
        <w:rPr>
          <w:rFonts w:ascii="Arial" w:cs="Arial" w:eastAsia="Arial" w:hAnsi="Arial"/>
          <w:sz w:val="22"/>
          <w:szCs w:val="22"/>
          <w:b w:val="1"/>
          <w:bCs w:val="1"/>
          <w:color w:val="auto"/>
        </w:rPr>
      </w:pPr>
    </w:p>
    <w:p>
      <w:pPr>
        <w:ind w:left="340" w:right="340" w:hanging="332"/>
        <w:spacing w:after="0" w:line="214" w:lineRule="auto"/>
        <w:tabs>
          <w:tab w:leader="none" w:pos="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Effective May 8</w:t>
      </w:r>
      <w:r>
        <w:rPr>
          <w:rFonts w:ascii="Arial" w:cs="Arial" w:eastAsia="Arial" w:hAnsi="Arial"/>
          <w:sz w:val="28"/>
          <w:szCs w:val="28"/>
          <w:b w:val="1"/>
          <w:bCs w:val="1"/>
          <w:i w:val="1"/>
          <w:iCs w:val="1"/>
          <w:color w:val="auto"/>
          <w:vertAlign w:val="superscript"/>
        </w:rPr>
        <w:t>th</w:t>
      </w:r>
      <w:r>
        <w:rPr>
          <w:rFonts w:ascii="Arial" w:cs="Arial" w:eastAsia="Arial" w:hAnsi="Arial"/>
          <w:sz w:val="22"/>
          <w:szCs w:val="22"/>
          <w:b w:val="1"/>
          <w:bCs w:val="1"/>
          <w:i w:val="1"/>
          <w:iCs w:val="1"/>
          <w:color w:val="auto"/>
        </w:rPr>
        <w:t>, Dr. Thomas Adams will transition his role from Chairman and CEO to Executive Chairman and Dr. Mark Erlander will assume the role of CEO</w:t>
      </w:r>
    </w:p>
    <w:p>
      <w:pPr>
        <w:ind w:left="340" w:right="220" w:hanging="332"/>
        <w:spacing w:after="0" w:line="246" w:lineRule="auto"/>
        <w:tabs>
          <w:tab w:leader="none" w:pos="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Changes mark an important milestone in the Company’s evolution and advancing development of onvansertib in cancer indications with the greatest medical need</w:t>
      </w:r>
    </w:p>
    <w:p>
      <w:pPr>
        <w:spacing w:after="0" w:line="78" w:lineRule="exact"/>
        <w:rPr>
          <w:sz w:val="20"/>
          <w:szCs w:val="20"/>
          <w:color w:val="auto"/>
        </w:rPr>
      </w:pPr>
    </w:p>
    <w:p>
      <w:pPr>
        <w:ind w:right="180"/>
        <w:spacing w:after="0" w:line="295" w:lineRule="auto"/>
        <w:rPr>
          <w:sz w:val="20"/>
          <w:szCs w:val="20"/>
          <w:color w:val="auto"/>
        </w:rPr>
      </w:pPr>
      <w:r>
        <w:rPr>
          <w:rFonts w:ascii="Arial" w:cs="Arial" w:eastAsia="Arial" w:hAnsi="Arial"/>
          <w:sz w:val="19"/>
          <w:szCs w:val="19"/>
          <w:b w:val="1"/>
          <w:bCs w:val="1"/>
          <w:color w:val="auto"/>
          <w:highlight w:val="white"/>
        </w:rPr>
        <w:t xml:space="preserve">SAN DIEGO (May 6, 2020) – </w:t>
      </w:r>
      <w:r>
        <w:rPr>
          <w:rFonts w:ascii="Arial" w:cs="Arial" w:eastAsia="Arial" w:hAnsi="Arial"/>
          <w:sz w:val="19"/>
          <w:szCs w:val="19"/>
          <w:b w:val="1"/>
          <w:bCs w:val="1"/>
          <w:color w:val="auto"/>
        </w:rPr>
        <w:t>Trovagene, Inc. (Nasdaq: TROV)</w:t>
      </w:r>
      <w:r>
        <w:rPr>
          <w:rFonts w:ascii="Arial" w:cs="Arial" w:eastAsia="Arial" w:hAnsi="Arial"/>
          <w:sz w:val="19"/>
          <w:szCs w:val="19"/>
          <w:color w:val="auto"/>
        </w:rPr>
        <w:t>, a clinical-stage oncology therapeutics company developing</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 xml:space="preserve">its drug, onvansertib, to treat cancers with the greatest medical need for new treatment options, including KRAS-mutated colorectal cancer, Zytiga®-resistant prostate cancer and relapsed/refractory leukemias, </w:t>
      </w:r>
      <w:r>
        <w:rPr>
          <w:rFonts w:ascii="Arial" w:cs="Arial" w:eastAsia="Arial" w:hAnsi="Arial"/>
          <w:sz w:val="19"/>
          <w:szCs w:val="19"/>
          <w:color w:val="auto"/>
          <w:highlight w:val="white"/>
        </w:rPr>
        <w:t>today announced</w:t>
      </w:r>
      <w:r>
        <w:rPr>
          <w:rFonts w:ascii="Arial" w:cs="Arial" w:eastAsia="Arial" w:hAnsi="Arial"/>
          <w:sz w:val="19"/>
          <w:szCs w:val="19"/>
          <w:color w:val="auto"/>
        </w:rPr>
        <w:t xml:space="preserve"> it is changing its company name to </w:t>
      </w:r>
      <w:r>
        <w:rPr>
          <w:rFonts w:ascii="Arial" w:cs="Arial" w:eastAsia="Arial" w:hAnsi="Arial"/>
          <w:sz w:val="19"/>
          <w:szCs w:val="19"/>
          <w:b w:val="1"/>
          <w:bCs w:val="1"/>
          <w:i w:val="1"/>
          <w:iCs w:val="1"/>
          <w:color w:val="auto"/>
          <w:highlight w:val="white"/>
        </w:rPr>
        <w:t>Cardiff Oncology, Inc.</w:t>
      </w:r>
      <w:r>
        <w:rPr>
          <w:rFonts w:ascii="Arial" w:cs="Arial" w:eastAsia="Arial" w:hAnsi="Arial"/>
          <w:sz w:val="19"/>
          <w:szCs w:val="19"/>
          <w:color w:val="auto"/>
        </w:rPr>
        <w:t xml:space="preserve"> </w:t>
      </w:r>
      <w:r>
        <w:rPr>
          <w:rFonts w:ascii="Arial" w:cs="Arial" w:eastAsia="Arial" w:hAnsi="Arial"/>
          <w:sz w:val="19"/>
          <w:szCs w:val="19"/>
          <w:color w:val="auto"/>
          <w:highlight w:val="white"/>
        </w:rPr>
        <w:t>and</w:t>
      </w:r>
      <w:r>
        <w:rPr>
          <w:rFonts w:ascii="Arial" w:cs="Arial" w:eastAsia="Arial" w:hAnsi="Arial"/>
          <w:sz w:val="19"/>
          <w:szCs w:val="19"/>
          <w:color w:val="auto"/>
        </w:rPr>
        <w:t xml:space="preserve"> Mark Erlander, PhD, will assume the role of Chief Executive Officer (CEO). </w:t>
      </w:r>
      <w:r>
        <w:rPr>
          <w:rFonts w:ascii="Arial" w:cs="Arial" w:eastAsia="Arial" w:hAnsi="Arial"/>
          <w:sz w:val="19"/>
          <w:szCs w:val="19"/>
          <w:color w:val="auto"/>
          <w:highlight w:val="white"/>
        </w:rPr>
        <w:t>In</w:t>
      </w:r>
      <w:r>
        <w:rPr>
          <w:rFonts w:ascii="Arial" w:cs="Arial" w:eastAsia="Arial" w:hAnsi="Arial"/>
          <w:sz w:val="19"/>
          <w:szCs w:val="19"/>
          <w:color w:val="auto"/>
        </w:rPr>
        <w:t xml:space="preserve"> </w:t>
      </w:r>
      <w:r>
        <w:rPr>
          <w:rFonts w:ascii="Arial" w:cs="Arial" w:eastAsia="Arial" w:hAnsi="Arial"/>
          <w:sz w:val="19"/>
          <w:szCs w:val="19"/>
          <w:color w:val="auto"/>
          <w:highlight w:val="white"/>
        </w:rPr>
        <w:t>connection with the new corporate name, the Company’s Nasdaq ticker symbol will change to ‘</w:t>
      </w:r>
      <w:r>
        <w:rPr>
          <w:rFonts w:ascii="Arial" w:cs="Arial" w:eastAsia="Arial" w:hAnsi="Arial"/>
          <w:sz w:val="19"/>
          <w:szCs w:val="19"/>
          <w:b w:val="1"/>
          <w:bCs w:val="1"/>
          <w:color w:val="auto"/>
          <w:highlight w:val="white"/>
        </w:rPr>
        <w:t>CRDF</w:t>
      </w:r>
      <w:r>
        <w:rPr>
          <w:rFonts w:ascii="Arial" w:cs="Arial" w:eastAsia="Arial" w:hAnsi="Arial"/>
          <w:sz w:val="19"/>
          <w:szCs w:val="19"/>
          <w:color w:val="auto"/>
          <w:highlight w:val="white"/>
        </w:rPr>
        <w:t xml:space="preserve">’ and will be effective at the open of the market on Friday, May 8, 2020. </w:t>
      </w:r>
      <w:r>
        <w:rPr>
          <w:rFonts w:ascii="Arial" w:cs="Arial" w:eastAsia="Arial" w:hAnsi="Arial"/>
          <w:sz w:val="19"/>
          <w:szCs w:val="19"/>
          <w:color w:val="auto"/>
        </w:rPr>
        <w:t>The new website will be https://cardiffoncology.com.</w:t>
      </w:r>
    </w:p>
    <w:p>
      <w:pPr>
        <w:spacing w:after="0" w:line="42"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highlight w:val="white"/>
        </w:rPr>
        <w:t xml:space="preserve">The new name, </w:t>
      </w:r>
      <w:r>
        <w:rPr>
          <w:rFonts w:ascii="Arial" w:cs="Arial" w:eastAsia="Arial" w:hAnsi="Arial"/>
          <w:sz w:val="22"/>
          <w:szCs w:val="22"/>
          <w:b w:val="1"/>
          <w:bCs w:val="1"/>
          <w:i w:val="1"/>
          <w:iCs w:val="1"/>
          <w:color w:val="auto"/>
          <w:highlight w:val="white"/>
        </w:rPr>
        <w:t>Cardiff Oncology</w:t>
      </w:r>
      <w:r>
        <w:rPr>
          <w:rFonts w:ascii="Arial" w:cs="Arial" w:eastAsia="Arial" w:hAnsi="Arial"/>
          <w:sz w:val="22"/>
          <w:szCs w:val="22"/>
          <w:color w:val="auto"/>
          <w:highlight w:val="white"/>
        </w:rPr>
        <w:t>, reflects the Company’s mission and commitment to turning the tide on cancer with its development of onvansertib, a first-in-class, third-generation, oral and highly-selective Polo-like Kinase 1 (PLK1) inhibitor, for the treatment of cancers representing the greatest need for new effective treatment options.</w:t>
      </w:r>
    </w:p>
    <w:p>
      <w:pPr>
        <w:spacing w:after="0" w:line="185"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highlight w:val="white"/>
        </w:rPr>
        <w:t>Dr. Erlander has served as Chief Scientific Officer since joining the Company in 2013 and has been an integral part in its evolution in drug development and biomarker technology. Dr. Thomas Adams, Chairman of the Board since 2009, and CEO since June of 2018, will transition his role to Executive Chairman, and continue to provide his strategic guidance and drug development expertise to the Company.</w:t>
      </w:r>
    </w:p>
    <w:p>
      <w:pPr>
        <w:spacing w:after="0" w:line="188"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highlight w:val="white"/>
        </w:rPr>
        <w:t>“We are very pleased to announce the change in leadership and company name,” said Dr. Thomas Adams, Executive Chairman. “Mark has a proven track record in drug research and development and one of the deepest oncology skills sets in our industry. We believe we are establishing a strong corporate identity with our name change to Cardiff Oncology and demonstrating our expertise and accomplishments as an oncology drug development company.”</w:t>
      </w:r>
    </w:p>
    <w:p>
      <w:pPr>
        <w:spacing w:after="0" w:line="175"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highlight w:val="white"/>
        </w:rPr>
        <w:t>“We already have a significant foundation in place with an experienced and talented team of people, deep science and an advancing clinical development program,” said Dr. Mark Erlander, Chief Executive Officer. “I’m excited to lead our company into the next stage of development that includes continuing to rapidly advance development of our investigational drug, onvansertib, in cancers with the greatest medical need for new effective treatments.”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Cardiff Oncology (formerly Trovagene, Inc.)</w:t>
      </w:r>
    </w:p>
    <w:p>
      <w:pPr>
        <w:spacing w:after="0" w:line="226" w:lineRule="exact"/>
        <w:rPr>
          <w:sz w:val="20"/>
          <w:szCs w:val="20"/>
          <w:color w:val="auto"/>
        </w:rPr>
      </w:pPr>
    </w:p>
    <w:p>
      <w:pPr>
        <w:jc w:val="both"/>
        <w:ind w:right="180"/>
        <w:spacing w:after="0" w:line="312" w:lineRule="auto"/>
        <w:rPr>
          <w:sz w:val="20"/>
          <w:szCs w:val="20"/>
          <w:color w:val="auto"/>
        </w:rPr>
      </w:pPr>
      <w:r>
        <w:rPr>
          <w:rFonts w:ascii="Arial" w:cs="Arial" w:eastAsia="Arial" w:hAnsi="Arial"/>
          <w:sz w:val="19"/>
          <w:szCs w:val="19"/>
          <w:color w:val="auto"/>
        </w:rPr>
        <w:t>Cardiff Oncology is a clinical-stage biotechnology company with the singular mission of developing new treatment options for cancer patients in indications with the greatest medical need. Our goal is to overcome resistance, improve response to treatment and increase overall survival. We are developing onvansertib, a first-in-class, third-generation Polo-like Kinase 1</w:t>
      </w:r>
    </w:p>
    <w:p>
      <w:pPr>
        <w:sectPr>
          <w:pgSz w:w="11900" w:h="16838" w:orient="portrait"/>
          <w:cols w:equalWidth="0" w:num="1">
            <w:col w:w="11220"/>
          </w:cols>
          <w:pgMar w:left="320" w:top="1440" w:right="359" w:bottom="1440" w:gutter="0" w:footer="0" w:header="0"/>
        </w:sectPr>
      </w:pPr>
    </w:p>
    <w:bookmarkStart w:id="4" w:name="page5"/>
    <w:bookmarkEnd w:id="4"/>
    <w:p>
      <w:pPr>
        <w:spacing w:after="0" w:line="249" w:lineRule="auto"/>
        <w:rPr>
          <w:sz w:val="20"/>
          <w:szCs w:val="20"/>
          <w:color w:val="auto"/>
        </w:rPr>
      </w:pPr>
      <w:r>
        <w:rPr>
          <w:rFonts w:ascii="Arial" w:cs="Arial" w:eastAsia="Arial" w:hAnsi="Arial"/>
          <w:sz w:val="21"/>
          <w:szCs w:val="21"/>
          <w:color w:val="auto"/>
        </w:rPr>
        <w:t>(PLK1) inhibitor, in combination with standard-of-care chemotherapy and targeted therapeutics. Our clinical development programs incorporate tumor genomics and biomarker technology to enable assessment of patient response to treatment. We have three ongoing clinical programs that are demonstrating the safety and efficacy of onvansertib: a Phase 1b/2 study of onvansertib in combination with FOLFIRI/Avastin® in KRAS-mutated metastatic colorectal cancer (mCRC); a Phase 2 study of onvansertib in combination with Zytiga® (abiraterone)/prednisone in Zytiga-resistant metastatic castration-resistant prostate cancer (mCRPC); and a Phase 2 study of onvansertib in combination with decitabine in relapsed or refractory acute myeloid leukemia (AML). For more information, please visit https://trovageneoncology.com. Please note that as of Friday, May 8</w:t>
      </w:r>
      <w:r>
        <w:rPr>
          <w:rFonts w:ascii="Arial" w:cs="Arial" w:eastAsia="Arial" w:hAnsi="Arial"/>
          <w:sz w:val="27"/>
          <w:szCs w:val="27"/>
          <w:color w:val="auto"/>
          <w:vertAlign w:val="superscript"/>
        </w:rPr>
        <w:t>th</w:t>
      </w:r>
      <w:r>
        <w:rPr>
          <w:rFonts w:ascii="Arial" w:cs="Arial" w:eastAsia="Arial" w:hAnsi="Arial"/>
          <w:sz w:val="21"/>
          <w:szCs w:val="21"/>
          <w:color w:val="auto"/>
        </w:rPr>
        <w:t>, the new website will be https://cardiffoncology.com.</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Certain statements in this press release are forward-looking within the meaning of the Private Securities Litigation Reform Act of 1995. These statements may be identified by the use of words such as "anticipate," "believe," "forecast," "estimated" and "intend" or other similar terms or expressions that concern Trovagene's expectations, strategy, plans or intentions. These forward-looking statements are based on Trovagene's current expectations and actual results could differ materially. There are a number of factors that could cause actual events to differ materially from those indicated by such forward-looking statements. These factors include, but are not limited to, our need for additional financing; our ability to continue as a going concern;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candidates; risks related to business interruptions, including the outbreak of COVID-19 coronavirus, which could seriously harm our financial condition and increase our costs and expenses; uncertainties of government or third party payer reimbursement; dependence on key personnel; limited experience in marketing and sales; substantial competition; uncertainties of patent protection and litigation; dependence upon third parties; our ability to develop tests, kits and systems and the success of those products; regulatory, financial and business risks related to our international expansion and risks related to failure to obtain FDA clearances or approvals and noncompliance with FDA regulations. There are no guarantees that any of our technology or products will be utilized or prove to be commercially successful. Additionally, there are no guarantees that future clinical trials will be completed or successful or that any precision medicine therapeutics will receive regulatory approval for any indication or prove to be commercially successful. Investors should read the risk factors set forth in Trovagene's Form 10-K for the year ended December 31, 2019,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Trovagene does not undertake any obligation to update publicly such statements to reflect subsequent events or circumstances.</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Trovagene Oncology Contact:</w:t>
      </w:r>
    </w:p>
    <w:p>
      <w:pPr>
        <w:sectPr>
          <w:pgSz w:w="11900" w:h="16838" w:orient="portrait"/>
          <w:cols w:equalWidth="0" w:num="1">
            <w:col w:w="11220"/>
          </w:cols>
          <w:pgMar w:left="320" w:top="456"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Vicki Kelemen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VP, Clinical Development and Investor Relations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858-952-7652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vkelemen@trovageneoncology.com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vkelemen@cardiffoncology.com</w:t>
      </w:r>
    </w:p>
    <w:sectPr>
      <w:pgSz w:w="11900" w:h="16838" w:orient="portrait"/>
      <w:cols w:equalWidth="0" w:num="1">
        <w:col w:w="10139"/>
      </w:cols>
      <w:pgMar w:left="320" w:top="3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2020-05-06T09:30:04Z</dcterms:created>
  <dcterms:modified xsi:type="dcterms:W3CDTF">2020-05-06T09:30:04Z</dcterms:modified>
</cp:coreProperties>
</file>